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59" w:rsidRPr="00275404" w:rsidRDefault="009A2759" w:rsidP="009A2759">
      <w:pPr>
        <w:pStyle w:val="1"/>
        <w:rPr>
          <w:color w:val="000000" w:themeColor="text1"/>
        </w:rPr>
      </w:pPr>
      <w:bookmarkStart w:id="0" w:name="_Toc197292947"/>
      <w:r w:rsidRPr="00275404">
        <w:rPr>
          <w:rFonts w:hint="eastAsia"/>
          <w:color w:val="000000" w:themeColor="text1"/>
        </w:rPr>
        <w:t>项目要求</w:t>
      </w:r>
      <w:bookmarkEnd w:id="0"/>
      <w:r>
        <w:rPr>
          <w:rFonts w:hint="eastAsia"/>
          <w:color w:val="000000" w:themeColor="text1"/>
        </w:rPr>
        <w:t>（附件</w:t>
      </w:r>
      <w:r>
        <w:rPr>
          <w:rFonts w:hint="eastAsia"/>
          <w:color w:val="000000" w:themeColor="text1"/>
        </w:rPr>
        <w:t>1</w:t>
      </w:r>
      <w:r>
        <w:rPr>
          <w:rFonts w:hint="eastAsia"/>
          <w:color w:val="000000" w:themeColor="text1"/>
        </w:rPr>
        <w:t>）</w:t>
      </w:r>
    </w:p>
    <w:p w:rsidR="009A2759" w:rsidRPr="00275404" w:rsidRDefault="009A2759" w:rsidP="009A2759">
      <w:pPr>
        <w:spacing w:line="360" w:lineRule="auto"/>
        <w:outlineLvl w:val="0"/>
        <w:rPr>
          <w:rFonts w:hAnsi="宋体"/>
          <w:bCs w:val="0"/>
          <w:color w:val="000000" w:themeColor="text1"/>
          <w:sz w:val="24"/>
        </w:rPr>
      </w:pPr>
      <w:bookmarkStart w:id="1" w:name="_Toc197292948"/>
      <w:r w:rsidRPr="00275404">
        <w:rPr>
          <w:rFonts w:hAnsi="宋体" w:hint="eastAsia"/>
          <w:bCs w:val="0"/>
          <w:color w:val="000000" w:themeColor="text1"/>
          <w:sz w:val="24"/>
        </w:rPr>
        <w:t>一、项目概况</w:t>
      </w:r>
      <w:bookmarkEnd w:id="1"/>
    </w:p>
    <w:p w:rsidR="009A2759" w:rsidRPr="00275404" w:rsidRDefault="009A2759" w:rsidP="009A2759">
      <w:pPr>
        <w:spacing w:after="120" w:line="360" w:lineRule="auto"/>
        <w:ind w:firstLine="562"/>
        <w:outlineLvl w:val="1"/>
        <w:rPr>
          <w:rFonts w:hAnsi="宋体"/>
          <w:bCs w:val="0"/>
          <w:color w:val="000000" w:themeColor="text1"/>
          <w:sz w:val="24"/>
        </w:rPr>
      </w:pPr>
      <w:bookmarkStart w:id="2" w:name="_Toc197292949"/>
      <w:bookmarkStart w:id="3" w:name="_Toc517456186"/>
      <w:bookmarkStart w:id="4" w:name="_Toc427673194"/>
      <w:r w:rsidRPr="00275404">
        <w:rPr>
          <w:rFonts w:hAnsi="宋体" w:hint="eastAsia"/>
          <w:bCs w:val="0"/>
          <w:color w:val="000000" w:themeColor="text1"/>
          <w:sz w:val="24"/>
        </w:rPr>
        <w:t>1.1 设计规模</w:t>
      </w:r>
      <w:bookmarkStart w:id="5" w:name="_GoBack"/>
      <w:bookmarkEnd w:id="2"/>
      <w:bookmarkEnd w:id="3"/>
      <w:bookmarkEnd w:id="4"/>
      <w:bookmarkEnd w:id="5"/>
    </w:p>
    <w:p w:rsidR="009A2759" w:rsidRPr="00275404" w:rsidRDefault="009A2759" w:rsidP="009A2759">
      <w:pPr>
        <w:spacing w:after="120" w:line="360" w:lineRule="auto"/>
        <w:ind w:firstLine="480"/>
        <w:rPr>
          <w:rFonts w:hAnsi="宋体"/>
          <w:bCs w:val="0"/>
          <w:color w:val="000000" w:themeColor="text1"/>
          <w:sz w:val="24"/>
        </w:rPr>
      </w:pPr>
      <w:r w:rsidRPr="00275404">
        <w:rPr>
          <w:rFonts w:hAnsi="宋体" w:hint="eastAsia"/>
          <w:bCs w:val="0"/>
          <w:color w:val="000000" w:themeColor="text1"/>
          <w:sz w:val="24"/>
        </w:rPr>
        <w:t>山东大学附属生殖医院已建设投运的污水处理站，院区污水站于2024年建成并投入使用，设计水量为70m</w:t>
      </w:r>
      <w:r w:rsidRPr="00275404">
        <w:rPr>
          <w:rFonts w:hAnsi="宋体" w:hint="eastAsia"/>
          <w:bCs w:val="0"/>
          <w:color w:val="000000" w:themeColor="text1"/>
          <w:sz w:val="24"/>
          <w:vertAlign w:val="superscript"/>
        </w:rPr>
        <w:t>3</w:t>
      </w:r>
      <w:r w:rsidRPr="00275404">
        <w:rPr>
          <w:rFonts w:hAnsi="宋体" w:hint="eastAsia"/>
          <w:bCs w:val="0"/>
          <w:color w:val="000000" w:themeColor="text1"/>
          <w:sz w:val="24"/>
        </w:rPr>
        <w:t>/d（2.92m</w:t>
      </w:r>
      <w:r w:rsidRPr="00275404">
        <w:rPr>
          <w:rFonts w:hAnsi="宋体" w:hint="eastAsia"/>
          <w:bCs w:val="0"/>
          <w:color w:val="000000" w:themeColor="text1"/>
          <w:sz w:val="24"/>
          <w:vertAlign w:val="superscript"/>
        </w:rPr>
        <w:t>3</w:t>
      </w:r>
      <w:r w:rsidRPr="00275404">
        <w:rPr>
          <w:rFonts w:hAnsi="宋体" w:hint="eastAsia"/>
          <w:bCs w:val="0"/>
          <w:color w:val="000000" w:themeColor="text1"/>
          <w:sz w:val="24"/>
        </w:rPr>
        <w:t>/h）。</w:t>
      </w:r>
    </w:p>
    <w:p w:rsidR="009A2759" w:rsidRPr="00275404" w:rsidRDefault="009A2759" w:rsidP="009A2759">
      <w:pPr>
        <w:spacing w:after="120" w:line="360" w:lineRule="auto"/>
        <w:ind w:firstLine="562"/>
        <w:outlineLvl w:val="1"/>
        <w:rPr>
          <w:rFonts w:hAnsi="宋体"/>
          <w:bCs w:val="0"/>
          <w:color w:val="000000" w:themeColor="text1"/>
          <w:sz w:val="24"/>
        </w:rPr>
      </w:pPr>
      <w:bookmarkStart w:id="6" w:name="_Toc314032212"/>
      <w:bookmarkStart w:id="7" w:name="_Toc197292950"/>
      <w:bookmarkStart w:id="8" w:name="_Toc517456187"/>
      <w:bookmarkStart w:id="9" w:name="_Toc360866380"/>
      <w:bookmarkStart w:id="10" w:name="_Toc361325502"/>
      <w:bookmarkStart w:id="11" w:name="_Toc360866566"/>
      <w:r w:rsidRPr="00275404">
        <w:rPr>
          <w:rFonts w:hAnsi="宋体" w:hint="eastAsia"/>
          <w:bCs w:val="0"/>
          <w:color w:val="000000" w:themeColor="text1"/>
          <w:sz w:val="24"/>
        </w:rPr>
        <w:t>1.2 设计进水水质</w:t>
      </w:r>
      <w:bookmarkEnd w:id="6"/>
      <w:bookmarkEnd w:id="7"/>
      <w:bookmarkEnd w:id="8"/>
      <w:bookmarkEnd w:id="9"/>
      <w:bookmarkEnd w:id="10"/>
      <w:bookmarkEnd w:id="11"/>
    </w:p>
    <w:p w:rsidR="009A2759" w:rsidRPr="00275404" w:rsidRDefault="009A2759" w:rsidP="009A2759">
      <w:pPr>
        <w:spacing w:after="120" w:line="360" w:lineRule="auto"/>
        <w:ind w:firstLine="480"/>
        <w:rPr>
          <w:rFonts w:hAnsi="宋体"/>
          <w:bCs w:val="0"/>
          <w:color w:val="000000" w:themeColor="text1"/>
          <w:sz w:val="24"/>
        </w:rPr>
      </w:pPr>
      <w:bookmarkStart w:id="12" w:name="_Toc223854328"/>
      <w:bookmarkStart w:id="13" w:name="_Toc192673150"/>
      <w:bookmarkStart w:id="14" w:name="_Toc192611466"/>
      <w:bookmarkStart w:id="15" w:name="_Toc136393374"/>
      <w:bookmarkStart w:id="16" w:name="_Toc167869433"/>
      <w:bookmarkStart w:id="17" w:name="_Toc136234702"/>
      <w:r w:rsidRPr="00275404">
        <w:rPr>
          <w:rFonts w:hAnsi="宋体" w:hint="eastAsia"/>
          <w:bCs w:val="0"/>
          <w:color w:val="000000" w:themeColor="text1"/>
          <w:sz w:val="24"/>
        </w:rPr>
        <w:t>该污水与一般生活污水类似，其中除含有机和无机污染物，如各种药物、消毒剂等污染物，还含有大量病菌、病毒和寄生虫，成份较为复杂。根据目前运行污水站提供的数据，确定进水水质如下</w:t>
      </w:r>
      <w:bookmarkStart w:id="18" w:name="_Toc223854329"/>
      <w:bookmarkStart w:id="19" w:name="_Toc136393375"/>
      <w:bookmarkStart w:id="20" w:name="_Toc136234703"/>
      <w:bookmarkStart w:id="21" w:name="_Toc167869434"/>
      <w:bookmarkStart w:id="22" w:name="_Toc192673151"/>
      <w:bookmarkStart w:id="23" w:name="_Toc192611467"/>
      <w:bookmarkEnd w:id="12"/>
      <w:bookmarkEnd w:id="13"/>
      <w:bookmarkEnd w:id="14"/>
      <w:bookmarkEnd w:id="15"/>
      <w:bookmarkEnd w:id="16"/>
      <w:bookmarkEnd w:id="17"/>
      <w:r w:rsidRPr="00275404">
        <w:rPr>
          <w:rFonts w:hAnsi="宋体" w:hint="eastAsia"/>
          <w:bCs w:val="0"/>
          <w:color w:val="000000" w:themeColor="text1"/>
          <w:sz w:val="24"/>
        </w:rPr>
        <w:t>表2-1中所示</w:t>
      </w:r>
      <w:bookmarkEnd w:id="18"/>
      <w:bookmarkEnd w:id="19"/>
      <w:bookmarkEnd w:id="20"/>
      <w:bookmarkEnd w:id="21"/>
      <w:bookmarkEnd w:id="22"/>
      <w:bookmarkEnd w:id="23"/>
      <w:r w:rsidRPr="00275404">
        <w:rPr>
          <w:rFonts w:hAnsi="宋体" w:hint="eastAsia"/>
          <w:bCs w:val="0"/>
          <w:color w:val="000000" w:themeColor="text1"/>
          <w:sz w:val="24"/>
        </w:rPr>
        <w:t>。</w:t>
      </w:r>
    </w:p>
    <w:p w:rsidR="009A2759" w:rsidRPr="00275404" w:rsidRDefault="009A2759" w:rsidP="009A2759">
      <w:pPr>
        <w:spacing w:after="120" w:line="360" w:lineRule="auto"/>
        <w:ind w:firstLine="482"/>
        <w:jc w:val="center"/>
        <w:rPr>
          <w:rFonts w:hAnsi="宋体"/>
          <w:bCs w:val="0"/>
          <w:color w:val="000000" w:themeColor="text1"/>
          <w:sz w:val="24"/>
        </w:rPr>
      </w:pPr>
      <w:r w:rsidRPr="00275404">
        <w:rPr>
          <w:rFonts w:hAnsi="宋体" w:hint="eastAsia"/>
          <w:bCs w:val="0"/>
          <w:color w:val="000000" w:themeColor="text1"/>
          <w:sz w:val="24"/>
        </w:rPr>
        <w:t>表2-1 设计进水水质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64"/>
        <w:gridCol w:w="3523"/>
        <w:gridCol w:w="2552"/>
      </w:tblGrid>
      <w:tr w:rsidR="009A2759" w:rsidRPr="00275404" w:rsidTr="009562B4">
        <w:trPr>
          <w:trHeight w:val="469"/>
          <w:jc w:val="center"/>
        </w:trPr>
        <w:tc>
          <w:tcPr>
            <w:tcW w:w="1764" w:type="dxa"/>
            <w:vAlign w:val="center"/>
          </w:tcPr>
          <w:p w:rsidR="009A2759" w:rsidRPr="00275404" w:rsidRDefault="009A2759" w:rsidP="009562B4">
            <w:pPr>
              <w:spacing w:line="360" w:lineRule="auto"/>
              <w:ind w:firstLine="482"/>
              <w:jc w:val="center"/>
              <w:rPr>
                <w:rFonts w:hAnsi="宋体"/>
                <w:bCs w:val="0"/>
                <w:color w:val="000000" w:themeColor="text1"/>
                <w:sz w:val="24"/>
              </w:rPr>
            </w:pPr>
            <w:r w:rsidRPr="00275404">
              <w:rPr>
                <w:rFonts w:hAnsi="宋体" w:hint="eastAsia"/>
                <w:bCs w:val="0"/>
                <w:color w:val="000000" w:themeColor="text1"/>
                <w:sz w:val="24"/>
              </w:rPr>
              <w:t>序号</w:t>
            </w:r>
          </w:p>
        </w:tc>
        <w:tc>
          <w:tcPr>
            <w:tcW w:w="3523" w:type="dxa"/>
            <w:vAlign w:val="center"/>
          </w:tcPr>
          <w:p w:rsidR="009A2759" w:rsidRPr="00275404" w:rsidRDefault="009A2759" w:rsidP="009562B4">
            <w:pPr>
              <w:spacing w:line="360" w:lineRule="auto"/>
              <w:ind w:firstLine="482"/>
              <w:jc w:val="center"/>
              <w:rPr>
                <w:rFonts w:hAnsi="宋体"/>
                <w:bCs w:val="0"/>
                <w:color w:val="000000" w:themeColor="text1"/>
                <w:sz w:val="24"/>
              </w:rPr>
            </w:pPr>
            <w:r w:rsidRPr="00275404">
              <w:rPr>
                <w:rFonts w:hAnsi="宋体" w:hint="eastAsia"/>
                <w:bCs w:val="0"/>
                <w:color w:val="000000" w:themeColor="text1"/>
                <w:sz w:val="24"/>
              </w:rPr>
              <w:t>项目</w:t>
            </w:r>
          </w:p>
        </w:tc>
        <w:tc>
          <w:tcPr>
            <w:tcW w:w="2552" w:type="dxa"/>
            <w:vAlign w:val="center"/>
          </w:tcPr>
          <w:p w:rsidR="009A2759" w:rsidRPr="00275404" w:rsidRDefault="009A2759" w:rsidP="009562B4">
            <w:pPr>
              <w:spacing w:line="360" w:lineRule="auto"/>
              <w:ind w:firstLine="482"/>
              <w:jc w:val="center"/>
              <w:rPr>
                <w:rFonts w:hAnsi="宋体"/>
                <w:bCs w:val="0"/>
                <w:color w:val="000000" w:themeColor="text1"/>
                <w:sz w:val="24"/>
              </w:rPr>
            </w:pPr>
            <w:r w:rsidRPr="00275404">
              <w:rPr>
                <w:rFonts w:hAnsi="宋体" w:hint="eastAsia"/>
                <w:bCs w:val="0"/>
                <w:color w:val="000000" w:themeColor="text1"/>
                <w:sz w:val="24"/>
              </w:rPr>
              <w:t>数值</w:t>
            </w:r>
          </w:p>
        </w:tc>
      </w:tr>
      <w:tr w:rsidR="009A2759" w:rsidRPr="00275404" w:rsidTr="009562B4">
        <w:trPr>
          <w:trHeight w:val="429"/>
          <w:jc w:val="center"/>
        </w:trPr>
        <w:tc>
          <w:tcPr>
            <w:tcW w:w="1764"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1</w:t>
            </w:r>
          </w:p>
        </w:tc>
        <w:tc>
          <w:tcPr>
            <w:tcW w:w="3523"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COD</w:t>
            </w:r>
            <w:r w:rsidRPr="00275404">
              <w:rPr>
                <w:rFonts w:hAnsi="宋体" w:hint="eastAsia"/>
                <w:bCs w:val="0"/>
                <w:color w:val="000000" w:themeColor="text1"/>
                <w:sz w:val="24"/>
                <w:vertAlign w:val="subscript"/>
              </w:rPr>
              <w:t>Cr</w:t>
            </w:r>
          </w:p>
        </w:tc>
        <w:tc>
          <w:tcPr>
            <w:tcW w:w="2552"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400mg/L</w:t>
            </w:r>
          </w:p>
        </w:tc>
      </w:tr>
      <w:tr w:rsidR="009A2759" w:rsidRPr="00275404" w:rsidTr="009562B4">
        <w:trPr>
          <w:trHeight w:val="429"/>
          <w:jc w:val="center"/>
        </w:trPr>
        <w:tc>
          <w:tcPr>
            <w:tcW w:w="1764"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2</w:t>
            </w:r>
          </w:p>
        </w:tc>
        <w:tc>
          <w:tcPr>
            <w:tcW w:w="3523"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BOD</w:t>
            </w:r>
            <w:r w:rsidRPr="00275404">
              <w:rPr>
                <w:rFonts w:hAnsi="宋体" w:hint="eastAsia"/>
                <w:bCs w:val="0"/>
                <w:color w:val="000000" w:themeColor="text1"/>
                <w:sz w:val="24"/>
                <w:vertAlign w:val="subscript"/>
              </w:rPr>
              <w:t>5</w:t>
            </w:r>
          </w:p>
        </w:tc>
        <w:tc>
          <w:tcPr>
            <w:tcW w:w="2552"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200mg/L</w:t>
            </w:r>
          </w:p>
        </w:tc>
      </w:tr>
      <w:tr w:rsidR="009A2759" w:rsidRPr="00275404" w:rsidTr="009562B4">
        <w:trPr>
          <w:trHeight w:val="429"/>
          <w:jc w:val="center"/>
        </w:trPr>
        <w:tc>
          <w:tcPr>
            <w:tcW w:w="1764"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3</w:t>
            </w:r>
          </w:p>
        </w:tc>
        <w:tc>
          <w:tcPr>
            <w:tcW w:w="3523"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SS</w:t>
            </w:r>
          </w:p>
        </w:tc>
        <w:tc>
          <w:tcPr>
            <w:tcW w:w="2552"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200mg/L</w:t>
            </w:r>
          </w:p>
        </w:tc>
      </w:tr>
      <w:tr w:rsidR="009A2759" w:rsidRPr="00275404" w:rsidTr="009562B4">
        <w:trPr>
          <w:trHeight w:val="429"/>
          <w:jc w:val="center"/>
        </w:trPr>
        <w:tc>
          <w:tcPr>
            <w:tcW w:w="1764"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4</w:t>
            </w:r>
          </w:p>
        </w:tc>
        <w:tc>
          <w:tcPr>
            <w:tcW w:w="3523"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pH</w:t>
            </w:r>
          </w:p>
        </w:tc>
        <w:tc>
          <w:tcPr>
            <w:tcW w:w="2552"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6～9</w:t>
            </w:r>
          </w:p>
        </w:tc>
      </w:tr>
      <w:tr w:rsidR="009A2759" w:rsidRPr="00275404" w:rsidTr="009562B4">
        <w:trPr>
          <w:trHeight w:val="429"/>
          <w:jc w:val="center"/>
        </w:trPr>
        <w:tc>
          <w:tcPr>
            <w:tcW w:w="1764"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5</w:t>
            </w:r>
          </w:p>
        </w:tc>
        <w:tc>
          <w:tcPr>
            <w:tcW w:w="3523"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NH</w:t>
            </w:r>
            <w:r w:rsidRPr="00275404">
              <w:rPr>
                <w:rFonts w:hAnsi="宋体" w:hint="eastAsia"/>
                <w:bCs w:val="0"/>
                <w:color w:val="000000" w:themeColor="text1"/>
                <w:sz w:val="24"/>
                <w:vertAlign w:val="subscript"/>
              </w:rPr>
              <w:t>3</w:t>
            </w:r>
            <w:r w:rsidRPr="00275404">
              <w:rPr>
                <w:rFonts w:hAnsi="宋体" w:hint="eastAsia"/>
                <w:bCs w:val="0"/>
                <w:color w:val="000000" w:themeColor="text1"/>
                <w:sz w:val="24"/>
              </w:rPr>
              <w:t>-N</w:t>
            </w:r>
          </w:p>
        </w:tc>
        <w:tc>
          <w:tcPr>
            <w:tcW w:w="2552"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40mg/L</w:t>
            </w:r>
          </w:p>
        </w:tc>
      </w:tr>
      <w:tr w:rsidR="009A2759" w:rsidRPr="00275404" w:rsidTr="009562B4">
        <w:trPr>
          <w:trHeight w:val="429"/>
          <w:jc w:val="center"/>
        </w:trPr>
        <w:tc>
          <w:tcPr>
            <w:tcW w:w="1764"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6</w:t>
            </w:r>
          </w:p>
        </w:tc>
        <w:tc>
          <w:tcPr>
            <w:tcW w:w="3523"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TN</w:t>
            </w:r>
          </w:p>
        </w:tc>
        <w:tc>
          <w:tcPr>
            <w:tcW w:w="2552"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50mg/L</w:t>
            </w:r>
          </w:p>
        </w:tc>
      </w:tr>
      <w:tr w:rsidR="009A2759" w:rsidRPr="00275404" w:rsidTr="009562B4">
        <w:trPr>
          <w:trHeight w:val="488"/>
          <w:jc w:val="center"/>
        </w:trPr>
        <w:tc>
          <w:tcPr>
            <w:tcW w:w="1764"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7</w:t>
            </w:r>
          </w:p>
        </w:tc>
        <w:tc>
          <w:tcPr>
            <w:tcW w:w="3523"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TP</w:t>
            </w:r>
          </w:p>
        </w:tc>
        <w:tc>
          <w:tcPr>
            <w:tcW w:w="2552" w:type="dxa"/>
            <w:vAlign w:val="center"/>
          </w:tcPr>
          <w:p w:rsidR="009A2759" w:rsidRPr="00275404" w:rsidRDefault="009A2759" w:rsidP="009562B4">
            <w:pPr>
              <w:spacing w:line="360" w:lineRule="auto"/>
              <w:ind w:firstLine="480"/>
              <w:jc w:val="center"/>
              <w:rPr>
                <w:rFonts w:hAnsi="宋体"/>
                <w:bCs w:val="0"/>
                <w:color w:val="000000" w:themeColor="text1"/>
                <w:sz w:val="24"/>
              </w:rPr>
            </w:pPr>
            <w:r w:rsidRPr="00275404">
              <w:rPr>
                <w:rFonts w:hAnsi="宋体" w:hint="eastAsia"/>
                <w:bCs w:val="0"/>
                <w:color w:val="000000" w:themeColor="text1"/>
                <w:sz w:val="24"/>
              </w:rPr>
              <w:t>6mg/L</w:t>
            </w:r>
          </w:p>
        </w:tc>
      </w:tr>
    </w:tbl>
    <w:p w:rsidR="009A2759" w:rsidRPr="00275404" w:rsidRDefault="009A2759" w:rsidP="009A2759">
      <w:pPr>
        <w:spacing w:before="240" w:after="120" w:line="360" w:lineRule="auto"/>
        <w:outlineLvl w:val="1"/>
        <w:rPr>
          <w:rFonts w:hAnsi="宋体"/>
          <w:bCs w:val="0"/>
          <w:color w:val="000000" w:themeColor="text1"/>
          <w:sz w:val="24"/>
        </w:rPr>
      </w:pPr>
      <w:bookmarkStart w:id="24" w:name="_Toc197292951"/>
      <w:r w:rsidRPr="00275404">
        <w:rPr>
          <w:rFonts w:hAnsi="宋体" w:hint="eastAsia"/>
          <w:bCs w:val="0"/>
          <w:color w:val="000000" w:themeColor="text1"/>
          <w:sz w:val="24"/>
        </w:rPr>
        <w:t>1.3 设计出水水质</w:t>
      </w:r>
      <w:bookmarkEnd w:id="24"/>
    </w:p>
    <w:p w:rsidR="009A2759" w:rsidRPr="00275404" w:rsidRDefault="009A2759" w:rsidP="009A2759">
      <w:pPr>
        <w:spacing w:after="120" w:line="360" w:lineRule="auto"/>
        <w:ind w:firstLine="480"/>
        <w:rPr>
          <w:rFonts w:hAnsi="宋体"/>
          <w:bCs w:val="0"/>
          <w:color w:val="000000" w:themeColor="text1"/>
          <w:sz w:val="24"/>
        </w:rPr>
      </w:pPr>
      <w:r w:rsidRPr="00275404">
        <w:rPr>
          <w:rFonts w:hAnsi="宋体" w:hint="eastAsia"/>
          <w:bCs w:val="0"/>
          <w:color w:val="000000" w:themeColor="text1"/>
          <w:sz w:val="24"/>
        </w:rPr>
        <w:t>根据国家规范要求，排口出水水质需达到《DB37-596-2020医疗污染物排放标准》（以下简称《标准》）的二级标准，详见《标准》中表一所示。出水粪大肠菌群数不超过500MPN/L。</w:t>
      </w:r>
    </w:p>
    <w:p w:rsidR="009A2759" w:rsidRPr="00275404" w:rsidRDefault="009A2759" w:rsidP="009A2759">
      <w:pPr>
        <w:spacing w:after="120" w:line="360" w:lineRule="auto"/>
        <w:rPr>
          <w:rFonts w:hAnsi="宋体"/>
          <w:bCs w:val="0"/>
          <w:color w:val="000000" w:themeColor="text1"/>
          <w:sz w:val="24"/>
        </w:rPr>
      </w:pPr>
      <w:r w:rsidRPr="00275404">
        <w:rPr>
          <w:rFonts w:hAnsi="宋体"/>
          <w:noProof/>
          <w:color w:val="000000" w:themeColor="text1"/>
          <w:sz w:val="24"/>
        </w:rPr>
        <w:lastRenderedPageBreak/>
        <w:drawing>
          <wp:inline distT="0" distB="0" distL="114300" distR="114300" wp14:anchorId="549822FF" wp14:editId="6B8386A5">
            <wp:extent cx="5788025" cy="352234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88025" cy="3522345"/>
                    </a:xfrm>
                    <a:prstGeom prst="rect">
                      <a:avLst/>
                    </a:prstGeom>
                    <a:noFill/>
                    <a:ln>
                      <a:noFill/>
                    </a:ln>
                  </pic:spPr>
                </pic:pic>
              </a:graphicData>
            </a:graphic>
          </wp:inline>
        </w:drawing>
      </w:r>
    </w:p>
    <w:p w:rsidR="009A2759" w:rsidRPr="00275404" w:rsidRDefault="009A2759" w:rsidP="009A2759">
      <w:pPr>
        <w:tabs>
          <w:tab w:val="left" w:pos="1440"/>
        </w:tabs>
        <w:spacing w:line="360" w:lineRule="auto"/>
        <w:ind w:left="480" w:hangingChars="200" w:hanging="480"/>
        <w:rPr>
          <w:rFonts w:hAnsi="宋体"/>
          <w:bCs w:val="0"/>
          <w:color w:val="000000" w:themeColor="text1"/>
          <w:sz w:val="24"/>
        </w:rPr>
      </w:pPr>
      <w:r w:rsidRPr="00275404">
        <w:rPr>
          <w:rFonts w:hAnsi="宋体"/>
          <w:noProof/>
          <w:color w:val="000000" w:themeColor="text1"/>
          <w:sz w:val="24"/>
        </w:rPr>
        <w:drawing>
          <wp:inline distT="0" distB="0" distL="114300" distR="114300" wp14:anchorId="2FD16B5E" wp14:editId="1010BFB5">
            <wp:extent cx="5793105" cy="3216275"/>
            <wp:effectExtent l="0" t="0" r="1333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793105" cy="3216275"/>
                    </a:xfrm>
                    <a:prstGeom prst="rect">
                      <a:avLst/>
                    </a:prstGeom>
                    <a:noFill/>
                    <a:ln>
                      <a:noFill/>
                    </a:ln>
                  </pic:spPr>
                </pic:pic>
              </a:graphicData>
            </a:graphic>
          </wp:inline>
        </w:drawing>
      </w:r>
    </w:p>
    <w:p w:rsidR="009A2759" w:rsidRPr="00275404" w:rsidRDefault="009A2759" w:rsidP="009A2759">
      <w:pPr>
        <w:tabs>
          <w:tab w:val="left" w:pos="1440"/>
        </w:tabs>
        <w:spacing w:line="360" w:lineRule="auto"/>
        <w:ind w:firstLineChars="147" w:firstLine="353"/>
        <w:rPr>
          <w:rFonts w:hAnsi="宋体"/>
          <w:bCs w:val="0"/>
          <w:color w:val="000000" w:themeColor="text1"/>
          <w:sz w:val="24"/>
        </w:rPr>
      </w:pPr>
      <w:r w:rsidRPr="00275404">
        <w:rPr>
          <w:rFonts w:hAnsi="宋体" w:hint="eastAsia"/>
          <w:bCs w:val="0"/>
          <w:color w:val="000000" w:themeColor="text1"/>
          <w:sz w:val="24"/>
        </w:rPr>
        <w:t>1.4 污水处理站工艺流程</w:t>
      </w:r>
    </w:p>
    <w:p w:rsidR="009A2759" w:rsidRPr="00275404" w:rsidRDefault="009A2759" w:rsidP="009A2759">
      <w:pPr>
        <w:spacing w:line="360" w:lineRule="auto"/>
        <w:rPr>
          <w:rFonts w:hAnsi="宋体"/>
          <w:bCs w:val="0"/>
          <w:color w:val="000000" w:themeColor="text1"/>
          <w:sz w:val="24"/>
        </w:rPr>
      </w:pPr>
      <w:r w:rsidRPr="00275404">
        <w:rPr>
          <w:rFonts w:hAnsi="宋体"/>
          <w:noProof/>
          <w:color w:val="000000" w:themeColor="text1"/>
          <w:sz w:val="24"/>
        </w:rPr>
        <w:lastRenderedPageBreak/>
        <w:drawing>
          <wp:inline distT="0" distB="0" distL="114300" distR="114300" wp14:anchorId="6D972BF6" wp14:editId="5B7E78D2">
            <wp:extent cx="2831465" cy="3605530"/>
            <wp:effectExtent l="0" t="0" r="0" b="0"/>
            <wp:docPr id="6" name="图片 1" descr="C:/Users/13951/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13951/Desktop/图片1.png图片1"/>
                    <pic:cNvPicPr>
                      <a:picLocks noChangeAspect="1"/>
                    </pic:cNvPicPr>
                  </pic:nvPicPr>
                  <pic:blipFill>
                    <a:blip r:embed="rId8"/>
                    <a:srcRect t="202" b="202"/>
                    <a:stretch>
                      <a:fillRect/>
                    </a:stretch>
                  </pic:blipFill>
                  <pic:spPr>
                    <a:xfrm>
                      <a:off x="0" y="0"/>
                      <a:ext cx="2831465" cy="3605530"/>
                    </a:xfrm>
                    <a:prstGeom prst="rect">
                      <a:avLst/>
                    </a:prstGeom>
                    <a:noFill/>
                    <a:ln>
                      <a:noFill/>
                    </a:ln>
                  </pic:spPr>
                </pic:pic>
              </a:graphicData>
            </a:graphic>
          </wp:inline>
        </w:drawing>
      </w:r>
    </w:p>
    <w:p w:rsidR="009A2759" w:rsidRPr="00275404" w:rsidRDefault="009A2759" w:rsidP="009A2759">
      <w:pPr>
        <w:spacing w:line="360" w:lineRule="auto"/>
        <w:outlineLvl w:val="0"/>
        <w:rPr>
          <w:rFonts w:hAnsi="宋体"/>
          <w:bCs w:val="0"/>
          <w:color w:val="000000" w:themeColor="text1"/>
          <w:sz w:val="24"/>
        </w:rPr>
      </w:pPr>
      <w:bookmarkStart w:id="25" w:name="_Toc197292952"/>
      <w:r w:rsidRPr="00275404">
        <w:rPr>
          <w:rFonts w:hAnsi="宋体" w:hint="eastAsia"/>
          <w:bCs w:val="0"/>
          <w:color w:val="000000" w:themeColor="text1"/>
          <w:sz w:val="24"/>
        </w:rPr>
        <w:t>二、设施维护要求</w:t>
      </w:r>
      <w:bookmarkEnd w:id="25"/>
    </w:p>
    <w:p w:rsidR="009A2759" w:rsidRPr="00275404" w:rsidRDefault="009A2759" w:rsidP="009A2759">
      <w:pPr>
        <w:spacing w:line="360" w:lineRule="auto"/>
        <w:ind w:firstLineChars="200" w:firstLine="480"/>
        <w:outlineLvl w:val="0"/>
        <w:rPr>
          <w:rFonts w:hAnsi="宋体"/>
          <w:bCs w:val="0"/>
          <w:color w:val="000000" w:themeColor="text1"/>
          <w:sz w:val="24"/>
        </w:rPr>
      </w:pPr>
      <w:bookmarkStart w:id="26" w:name="_Toc197292953"/>
      <w:r w:rsidRPr="00275404">
        <w:rPr>
          <w:rFonts w:hAnsi="宋体" w:hint="eastAsia"/>
          <w:bCs w:val="0"/>
          <w:color w:val="000000" w:themeColor="text1"/>
          <w:sz w:val="24"/>
        </w:rPr>
        <w:t>2.1预处理系统：a格栅清理：每日清理格栅拦截的固体废弃物（纱布、棉签、塑料制品等），防止堵塞管道。b调节池管理：监控pH值（范围6.5-8.5），调节水量均衡化，避免冲击负荷影响后续处理；</w:t>
      </w:r>
      <w:bookmarkEnd w:id="26"/>
    </w:p>
    <w:p w:rsidR="009A2759" w:rsidRPr="00275404" w:rsidRDefault="009A2759" w:rsidP="009A2759">
      <w:pPr>
        <w:spacing w:line="360" w:lineRule="auto"/>
        <w:ind w:firstLineChars="200" w:firstLine="480"/>
        <w:outlineLvl w:val="0"/>
        <w:rPr>
          <w:rFonts w:hAnsi="宋体"/>
          <w:bCs w:val="0"/>
          <w:color w:val="000000" w:themeColor="text1"/>
          <w:sz w:val="24"/>
        </w:rPr>
      </w:pPr>
      <w:bookmarkStart w:id="27" w:name="_Toc197292954"/>
      <w:r w:rsidRPr="00275404">
        <w:rPr>
          <w:rFonts w:hAnsi="宋体" w:hint="eastAsia"/>
          <w:bCs w:val="0"/>
          <w:color w:val="000000" w:themeColor="text1"/>
          <w:sz w:val="24"/>
        </w:rPr>
        <w:t>2.2生化处理系统：a活性污泥维护：定期检测污泥浓度（MLSS 2000-4000 mg/L）、沉降比（SV30 20%-30%），调整曝气量（DO 2-4 mg/L）与污泥回流比（30%-50%）。b生物膜法维护：检查填料堵塞情况，定期反冲洗（每月1-2次），防止生物膜脱落导致处理效率下降。c消毒系统：氯消毒：控制接触时间≥1.5小时，余氯浓度3-5 mg/L，每日检测游离氯残留；</w:t>
      </w:r>
      <w:bookmarkEnd w:id="27"/>
    </w:p>
    <w:p w:rsidR="009A2759" w:rsidRPr="00275404" w:rsidRDefault="009A2759" w:rsidP="009A2759">
      <w:pPr>
        <w:spacing w:line="360" w:lineRule="auto"/>
        <w:outlineLvl w:val="0"/>
        <w:rPr>
          <w:rFonts w:hAnsi="宋体"/>
          <w:bCs w:val="0"/>
          <w:color w:val="000000" w:themeColor="text1"/>
          <w:sz w:val="24"/>
        </w:rPr>
      </w:pPr>
      <w:bookmarkStart w:id="28" w:name="_Toc197292955"/>
      <w:r w:rsidRPr="00275404">
        <w:rPr>
          <w:rFonts w:hAnsi="宋体" w:hint="eastAsia"/>
          <w:bCs w:val="0"/>
          <w:color w:val="000000" w:themeColor="text1"/>
          <w:sz w:val="24"/>
        </w:rPr>
        <w:t>三、设备运维</w:t>
      </w:r>
      <w:bookmarkEnd w:id="28"/>
    </w:p>
    <w:p w:rsidR="009A2759" w:rsidRPr="00275404" w:rsidRDefault="009A2759" w:rsidP="009A2759">
      <w:pPr>
        <w:spacing w:line="360" w:lineRule="auto"/>
        <w:ind w:firstLineChars="200" w:firstLine="480"/>
        <w:outlineLvl w:val="0"/>
        <w:rPr>
          <w:rFonts w:hAnsi="宋体"/>
          <w:bCs w:val="0"/>
          <w:color w:val="000000" w:themeColor="text1"/>
          <w:sz w:val="24"/>
        </w:rPr>
      </w:pPr>
      <w:bookmarkStart w:id="29" w:name="_Toc197292956"/>
      <w:r w:rsidRPr="00275404">
        <w:rPr>
          <w:rFonts w:hAnsi="宋体" w:hint="eastAsia"/>
          <w:bCs w:val="0"/>
          <w:color w:val="000000" w:themeColor="text1"/>
          <w:sz w:val="24"/>
        </w:rPr>
        <w:t>3.1关键设备巡检：a水泵：检查轴承温度（≤70℃）、密封性（无泄漏）、振动幅度（≤4.5 mm/s）。b鼓风机：监测油位、滤芯堵塞情况，每季度更换润滑油。c污泥脱水机：调整带速与压榨压力，确保脱水后污泥含水率≤80%。d预防性维护：制定年度维护计划，例如每季度对加药泵校准精度（误差≤5%），每半年对曝气头进行酸洗除垢；</w:t>
      </w:r>
      <w:bookmarkEnd w:id="29"/>
    </w:p>
    <w:p w:rsidR="009A2759" w:rsidRPr="00275404" w:rsidRDefault="009A2759" w:rsidP="009A2759">
      <w:pPr>
        <w:spacing w:line="360" w:lineRule="auto"/>
        <w:ind w:firstLineChars="200" w:firstLine="480"/>
        <w:outlineLvl w:val="0"/>
        <w:rPr>
          <w:rFonts w:hAnsi="宋体"/>
          <w:bCs w:val="0"/>
          <w:color w:val="000000" w:themeColor="text1"/>
          <w:sz w:val="24"/>
        </w:rPr>
      </w:pPr>
      <w:bookmarkStart w:id="30" w:name="_Toc197292957"/>
      <w:r w:rsidRPr="00275404">
        <w:rPr>
          <w:rFonts w:hAnsi="宋体" w:hint="eastAsia"/>
          <w:bCs w:val="0"/>
          <w:color w:val="000000" w:themeColor="text1"/>
          <w:sz w:val="24"/>
        </w:rPr>
        <w:t>3.2污泥管理：对生化污泥和化学污泥进行脱水（含水率≤80%）、消毒（如投加石灰调节pH≥12，维持24小时），暂存于防渗污泥池。按《医疗废物管理条</w:t>
      </w:r>
      <w:r w:rsidRPr="00275404">
        <w:rPr>
          <w:rFonts w:hAnsi="宋体" w:hint="eastAsia"/>
          <w:bCs w:val="0"/>
          <w:color w:val="000000" w:themeColor="text1"/>
          <w:sz w:val="24"/>
        </w:rPr>
        <w:lastRenderedPageBreak/>
        <w:t>例》要求，分类标识后交由危废处置单位处理，留存转运联单至少5年；</w:t>
      </w:r>
      <w:bookmarkEnd w:id="30"/>
    </w:p>
    <w:p w:rsidR="009A2759" w:rsidRPr="00275404" w:rsidRDefault="009A2759" w:rsidP="009A2759">
      <w:pPr>
        <w:spacing w:line="360" w:lineRule="auto"/>
        <w:ind w:firstLineChars="200" w:firstLine="480"/>
        <w:outlineLvl w:val="0"/>
        <w:rPr>
          <w:rFonts w:hAnsi="宋体"/>
          <w:bCs w:val="0"/>
          <w:color w:val="000000" w:themeColor="text1"/>
          <w:sz w:val="24"/>
        </w:rPr>
      </w:pPr>
      <w:bookmarkStart w:id="31" w:name="_Toc197292958"/>
      <w:r w:rsidRPr="00275404">
        <w:rPr>
          <w:rFonts w:hAnsi="宋体" w:hint="eastAsia"/>
          <w:bCs w:val="0"/>
          <w:color w:val="000000" w:themeColor="text1"/>
          <w:sz w:val="24"/>
        </w:rPr>
        <w:t>3.3危化品管控：消毒剂（如次氯酸钠）、酸碱药剂等储存于专用库房，双人双锁管理，配备泄漏应急包（如中和剂、吸附棉）；</w:t>
      </w:r>
      <w:bookmarkEnd w:id="31"/>
    </w:p>
    <w:p w:rsidR="009A2759" w:rsidRPr="00275404" w:rsidRDefault="009A2759" w:rsidP="009A2759">
      <w:pPr>
        <w:spacing w:line="360" w:lineRule="auto"/>
        <w:outlineLvl w:val="0"/>
        <w:rPr>
          <w:rFonts w:hAnsi="宋体"/>
          <w:bCs w:val="0"/>
          <w:color w:val="000000" w:themeColor="text1"/>
          <w:sz w:val="24"/>
        </w:rPr>
      </w:pPr>
      <w:bookmarkStart w:id="32" w:name="_Toc197292959"/>
      <w:r w:rsidRPr="00275404">
        <w:rPr>
          <w:rFonts w:hAnsi="宋体" w:hint="eastAsia"/>
          <w:bCs w:val="0"/>
          <w:color w:val="000000" w:themeColor="text1"/>
          <w:sz w:val="24"/>
        </w:rPr>
        <w:t>四、运营要求及服务方案</w:t>
      </w:r>
      <w:bookmarkEnd w:id="32"/>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4.1运营要求：</w:t>
      </w:r>
    </w:p>
    <w:p w:rsidR="009A2759" w:rsidRPr="00275404" w:rsidRDefault="009A2759" w:rsidP="009A2759">
      <w:pPr>
        <w:spacing w:after="120" w:line="360" w:lineRule="auto"/>
        <w:ind w:firstLine="480"/>
        <w:rPr>
          <w:rFonts w:hAnsi="宋体"/>
          <w:bCs w:val="0"/>
          <w:color w:val="000000" w:themeColor="text1"/>
          <w:sz w:val="24"/>
        </w:rPr>
      </w:pPr>
      <w:r w:rsidRPr="00275404">
        <w:rPr>
          <w:rFonts w:hAnsi="宋体" w:hint="eastAsia"/>
          <w:bCs w:val="0"/>
          <w:color w:val="000000" w:themeColor="text1"/>
          <w:sz w:val="24"/>
        </w:rPr>
        <w:t>4.2运营单位服务范围：山东大学附属生殖医院经六纬五路157号污水处理站。</w:t>
      </w:r>
    </w:p>
    <w:p w:rsidR="009A2759" w:rsidRPr="00275404" w:rsidRDefault="009A2759" w:rsidP="009A2759">
      <w:pPr>
        <w:spacing w:after="120" w:line="360" w:lineRule="auto"/>
        <w:ind w:firstLine="480"/>
        <w:rPr>
          <w:rFonts w:hAnsi="宋体"/>
          <w:bCs w:val="0"/>
          <w:color w:val="000000" w:themeColor="text1"/>
          <w:sz w:val="24"/>
        </w:rPr>
      </w:pPr>
      <w:r w:rsidRPr="00275404">
        <w:rPr>
          <w:rFonts w:hAnsi="宋体" w:hint="eastAsia"/>
          <w:bCs w:val="0"/>
          <w:color w:val="000000" w:themeColor="text1"/>
          <w:sz w:val="24"/>
        </w:rPr>
        <w:t>4.3运营单位需确保医院污水处理站污水处理要求：总排口出水要求达到《DB37-596-2020医疗污染物排放标准》的二级标准。</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4.4运营单位需确保污水处理站排出的废气达到《DB37-596-2020医疗污染物排放标准》4.3条款要求（表二）。</w:t>
      </w:r>
    </w:p>
    <w:p w:rsidR="009A2759" w:rsidRPr="00275404" w:rsidRDefault="009A2759" w:rsidP="009A2759">
      <w:pPr>
        <w:spacing w:line="360" w:lineRule="auto"/>
        <w:jc w:val="center"/>
        <w:rPr>
          <w:rFonts w:hAnsi="宋体"/>
          <w:bCs w:val="0"/>
          <w:color w:val="000000" w:themeColor="text1"/>
          <w:sz w:val="24"/>
        </w:rPr>
      </w:pPr>
      <w:r w:rsidRPr="00275404">
        <w:rPr>
          <w:rFonts w:hAnsi="宋体"/>
          <w:noProof/>
          <w:color w:val="000000" w:themeColor="text1"/>
          <w:sz w:val="24"/>
        </w:rPr>
        <w:drawing>
          <wp:inline distT="0" distB="0" distL="114300" distR="114300" wp14:anchorId="1DEE0541" wp14:editId="4F4C56D8">
            <wp:extent cx="5953760" cy="1781810"/>
            <wp:effectExtent l="0" t="0" r="5080" b="12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5953760" cy="1781810"/>
                    </a:xfrm>
                    <a:prstGeom prst="rect">
                      <a:avLst/>
                    </a:prstGeom>
                    <a:noFill/>
                    <a:ln>
                      <a:noFill/>
                    </a:ln>
                  </pic:spPr>
                </pic:pic>
              </a:graphicData>
            </a:graphic>
          </wp:inline>
        </w:drawing>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4.5运营单位需确保污水处理站排出的污泥达到《DB37-596-2020医疗污染物排放标准》综合医疗机构要求（表三）。</w:t>
      </w:r>
    </w:p>
    <w:p w:rsidR="009A2759" w:rsidRPr="00275404" w:rsidRDefault="009A2759" w:rsidP="009A2759">
      <w:pPr>
        <w:spacing w:line="360" w:lineRule="auto"/>
        <w:jc w:val="center"/>
        <w:rPr>
          <w:rFonts w:hAnsi="宋体"/>
          <w:bCs w:val="0"/>
          <w:color w:val="000000" w:themeColor="text1"/>
          <w:sz w:val="24"/>
        </w:rPr>
      </w:pPr>
      <w:r w:rsidRPr="00275404">
        <w:rPr>
          <w:rFonts w:hAnsi="宋体"/>
          <w:noProof/>
          <w:color w:val="000000" w:themeColor="text1"/>
          <w:sz w:val="24"/>
        </w:rPr>
        <w:drawing>
          <wp:inline distT="0" distB="0" distL="114300" distR="114300" wp14:anchorId="3EAC7A34" wp14:editId="79D8FFA5">
            <wp:extent cx="5304790" cy="1288415"/>
            <wp:effectExtent l="0" t="0" r="13970" b="698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5304790" cy="1288415"/>
                    </a:xfrm>
                    <a:prstGeom prst="rect">
                      <a:avLst/>
                    </a:prstGeom>
                    <a:noFill/>
                    <a:ln>
                      <a:noFill/>
                    </a:ln>
                  </pic:spPr>
                </pic:pic>
              </a:graphicData>
            </a:graphic>
          </wp:inline>
        </w:drawing>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4.6运营单位应严格执行环保部门各项法律法规规定及医院方的相关规定，配合医院方、环保部门等的常规检测和问询，并定期向医院汇报并代表医院向政府环保部门汇报处理设施运行情况；</w:t>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4.7运营单位应严格按照医院排污许可证要求进行污水水质检测并及时提供检测报告（纸质版及电子版）。</w:t>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lastRenderedPageBreak/>
        <w:t>4.8运营单位对污水处理系统负责派人进行设施日常管理，对整个污水处理系统的完备性、稳定性和安全性以及消防安全负责，对现场的操作人员、值班人员、技术人员等相应人员的人身安全负责，保证污水处理系统正常运行并妥善做好各种有关安全的应急事件处理，确保现场周边环境整洁卫生。</w:t>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4.9运营单位应规范操作，定期保养，保持污水站所有设备设施的正常运行，保证MBR的产水量满足院区的排水要求；设备故障维修时医院承担维修配件成本费用，维修后报审计据实结算。内容详见附件二；运营单位应及时、妥善做好MBR膜组件的维护和清洗，有效延长MBR膜组件的使用寿命。</w:t>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4.10运营单位应根据污水处置量严格控制药品投放量。</w:t>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4.11运营服务期内，投标人应严格做好各项工作记录、设施管理使用及检测记录等，并在合同终止时将所有运行记录、检修记录、检测报告等文件完整移交给医院方。</w:t>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4.12运营服务期内因运营单位责任出现的任何问题，后果由运营单位完全承担。如因运营单位责任出现污水不达标排放等环保问题，所产生的罚款由运营公司承担，出现两次环保问题医院有权立即终止合同。</w:t>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 xml:space="preserve">4.13运营服务方案：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运营单位针对本项目制定服务方案，主要包括（运营报价明细详见附件一）：</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①管理服务目标。</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②管理制度和工作计划。阐述内部管理的职责分工、日常管理制度。</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③人员配备、岗位设置等方案。</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④详细可行的服务方案，包括污水站运行维护方案、应急突发事件处置预案、档案管理方案等。</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⑤服务承诺及优惠措施。 </w:t>
      </w:r>
    </w:p>
    <w:p w:rsidR="009A2759" w:rsidRPr="00275404" w:rsidRDefault="009A2759" w:rsidP="009A2759">
      <w:pPr>
        <w:spacing w:line="360" w:lineRule="auto"/>
        <w:outlineLvl w:val="0"/>
        <w:rPr>
          <w:rFonts w:hAnsi="宋体"/>
          <w:bCs w:val="0"/>
          <w:color w:val="000000" w:themeColor="text1"/>
          <w:sz w:val="24"/>
        </w:rPr>
      </w:pPr>
      <w:bookmarkStart w:id="33" w:name="_Toc197292960"/>
      <w:r w:rsidRPr="00275404">
        <w:rPr>
          <w:rFonts w:hAnsi="宋体" w:hint="eastAsia"/>
          <w:bCs w:val="0"/>
          <w:color w:val="000000" w:themeColor="text1"/>
          <w:sz w:val="24"/>
        </w:rPr>
        <w:t>五、运营单位使用药品要求：</w:t>
      </w:r>
      <w:bookmarkEnd w:id="33"/>
      <w:r w:rsidRPr="00275404">
        <w:rPr>
          <w:rFonts w:hAnsi="宋体" w:hint="eastAsia"/>
          <w:bCs w:val="0"/>
          <w:color w:val="000000" w:themeColor="text1"/>
          <w:sz w:val="24"/>
        </w:rPr>
        <w:t xml:space="preserve">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运营单位应根据环保部门及医院要求提供并使用合格药品，要求如下：</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①消毒剂：厂家必须采用不含氯消毒剂。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化学成分：过一硫酸氢钾复合盐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形态要求：固态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外观：固体白色或浅红色，粉末                                         </w:t>
      </w:r>
    </w:p>
    <w:p w:rsidR="009A2759" w:rsidRPr="00275404" w:rsidRDefault="009A2759" w:rsidP="009A2759">
      <w:pPr>
        <w:spacing w:line="360" w:lineRule="auto"/>
        <w:ind w:firstLineChars="200" w:firstLine="480"/>
        <w:rPr>
          <w:rFonts w:hAnsi="宋体"/>
          <w:bCs w:val="0"/>
          <w:color w:val="000000" w:themeColor="text1"/>
          <w:sz w:val="24"/>
          <w:lang w:val="es-ES"/>
        </w:rPr>
      </w:pPr>
      <w:r w:rsidRPr="00275404">
        <w:rPr>
          <w:rFonts w:hAnsi="宋体" w:hint="eastAsia"/>
          <w:bCs w:val="0"/>
          <w:color w:val="000000" w:themeColor="text1"/>
          <w:sz w:val="24"/>
          <w:lang w:val="es-ES"/>
        </w:rPr>
        <w:lastRenderedPageBreak/>
        <w:t>过一硫酸氢钾（KHSO</w:t>
      </w:r>
      <w:r w:rsidRPr="00275404">
        <w:rPr>
          <w:rFonts w:hAnsi="宋体" w:hint="eastAsia"/>
          <w:bCs w:val="0"/>
          <w:color w:val="000000" w:themeColor="text1"/>
          <w:sz w:val="24"/>
          <w:vertAlign w:val="subscript"/>
          <w:lang w:val="es-ES"/>
        </w:rPr>
        <w:t>5</w:t>
      </w:r>
      <w:r w:rsidRPr="00275404">
        <w:rPr>
          <w:rFonts w:hAnsi="宋体" w:hint="eastAsia"/>
          <w:bCs w:val="0"/>
          <w:color w:val="000000" w:themeColor="text1"/>
          <w:sz w:val="24"/>
          <w:lang w:val="es-ES"/>
        </w:rPr>
        <w:t>）质量分数≥</w:t>
      </w:r>
      <w:r w:rsidRPr="00275404">
        <w:rPr>
          <w:rFonts w:hAnsi="宋体" w:hint="eastAsia"/>
          <w:bCs w:val="0"/>
          <w:color w:val="000000" w:themeColor="text1"/>
          <w:sz w:val="24"/>
        </w:rPr>
        <w:t>16</w:t>
      </w:r>
      <w:r w:rsidRPr="00275404">
        <w:rPr>
          <w:rFonts w:hAnsi="宋体" w:hint="eastAsia"/>
          <w:bCs w:val="0"/>
          <w:color w:val="000000" w:themeColor="text1"/>
          <w:sz w:val="24"/>
          <w:lang w:val="es-ES"/>
        </w:rPr>
        <w:t xml:space="preserve">％                                       </w:t>
      </w:r>
    </w:p>
    <w:p w:rsidR="009A2759" w:rsidRPr="00275404" w:rsidRDefault="009A2759" w:rsidP="009A2759">
      <w:pPr>
        <w:spacing w:line="360" w:lineRule="auto"/>
        <w:ind w:firstLineChars="200" w:firstLine="480"/>
        <w:rPr>
          <w:rFonts w:hAnsi="宋体"/>
          <w:bCs w:val="0"/>
          <w:color w:val="000000" w:themeColor="text1"/>
          <w:sz w:val="24"/>
          <w:lang w:val="es-ES"/>
        </w:rPr>
      </w:pPr>
      <w:r w:rsidRPr="00275404">
        <w:rPr>
          <w:rFonts w:hAnsi="宋体" w:hint="eastAsia"/>
          <w:bCs w:val="0"/>
          <w:color w:val="000000" w:themeColor="text1"/>
          <w:sz w:val="24"/>
          <w:lang w:val="es-ES"/>
        </w:rPr>
        <w:t xml:space="preserve">②脱磷剂：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化学成分：聚合氯化铝（PAC）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形态要求：固态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外观：固体黄色，粉末                                         </w:t>
      </w:r>
    </w:p>
    <w:p w:rsidR="009A2759" w:rsidRPr="00275404" w:rsidRDefault="009A2759" w:rsidP="009A2759">
      <w:pPr>
        <w:spacing w:line="360" w:lineRule="auto"/>
        <w:ind w:firstLineChars="200" w:firstLine="480"/>
        <w:rPr>
          <w:rFonts w:hAnsi="宋体"/>
          <w:bCs w:val="0"/>
          <w:color w:val="000000" w:themeColor="text1"/>
          <w:sz w:val="24"/>
          <w:lang w:val="es-ES"/>
        </w:rPr>
      </w:pPr>
      <w:r w:rsidRPr="00275404">
        <w:rPr>
          <w:rFonts w:hAnsi="宋体" w:hint="eastAsia"/>
          <w:bCs w:val="0"/>
          <w:color w:val="000000" w:themeColor="text1"/>
          <w:sz w:val="24"/>
          <w:lang w:val="es-ES"/>
        </w:rPr>
        <w:t>氧化铝（Al</w:t>
      </w:r>
      <w:r w:rsidRPr="00275404">
        <w:rPr>
          <w:rFonts w:hAnsi="宋体" w:hint="eastAsia"/>
          <w:bCs w:val="0"/>
          <w:color w:val="000000" w:themeColor="text1"/>
          <w:sz w:val="24"/>
          <w:vertAlign w:val="subscript"/>
          <w:lang w:val="es-ES"/>
        </w:rPr>
        <w:t>2</w:t>
      </w:r>
      <w:r w:rsidRPr="00275404">
        <w:rPr>
          <w:rFonts w:hAnsi="宋体" w:hint="eastAsia"/>
          <w:bCs w:val="0"/>
          <w:color w:val="000000" w:themeColor="text1"/>
          <w:sz w:val="24"/>
          <w:lang w:val="es-ES"/>
        </w:rPr>
        <w:t>O</w:t>
      </w:r>
      <w:r w:rsidRPr="00275404">
        <w:rPr>
          <w:rFonts w:hAnsi="宋体" w:hint="eastAsia"/>
          <w:bCs w:val="0"/>
          <w:color w:val="000000" w:themeColor="text1"/>
          <w:sz w:val="24"/>
          <w:vertAlign w:val="subscript"/>
          <w:lang w:val="es-ES"/>
        </w:rPr>
        <w:t>3</w:t>
      </w:r>
      <w:r w:rsidRPr="00275404">
        <w:rPr>
          <w:rFonts w:hAnsi="宋体" w:hint="eastAsia"/>
          <w:bCs w:val="0"/>
          <w:color w:val="000000" w:themeColor="text1"/>
          <w:sz w:val="24"/>
          <w:lang w:val="es-ES"/>
        </w:rPr>
        <w:t>）</w:t>
      </w:r>
      <w:r w:rsidRPr="00275404">
        <w:rPr>
          <w:rFonts w:hAnsi="宋体" w:hint="eastAsia"/>
          <w:bCs w:val="0"/>
          <w:color w:val="000000" w:themeColor="text1"/>
          <w:sz w:val="24"/>
        </w:rPr>
        <w:t>质量分数</w:t>
      </w:r>
      <w:r w:rsidRPr="00275404">
        <w:rPr>
          <w:rFonts w:hAnsi="宋体" w:hint="eastAsia"/>
          <w:bCs w:val="0"/>
          <w:color w:val="000000" w:themeColor="text1"/>
          <w:sz w:val="24"/>
          <w:lang w:val="es-ES"/>
        </w:rPr>
        <w:t xml:space="preserve">≥28％；水不溶物质量分数≤0.4%                                  </w:t>
      </w:r>
    </w:p>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其他指标应达到国标GB/T22627-2014水处理剂聚合氯化铝（固体）的要求。</w:t>
      </w:r>
    </w:p>
    <w:p w:rsidR="009A2759" w:rsidRPr="00275404" w:rsidRDefault="009A2759" w:rsidP="009A2759">
      <w:pPr>
        <w:spacing w:line="360" w:lineRule="auto"/>
        <w:ind w:firstLineChars="200" w:firstLine="480"/>
        <w:rPr>
          <w:rFonts w:hAnsi="宋体"/>
          <w:bCs w:val="0"/>
          <w:color w:val="000000" w:themeColor="text1"/>
          <w:sz w:val="24"/>
          <w:lang w:val="es-ES"/>
        </w:rPr>
      </w:pPr>
      <w:r w:rsidRPr="00275404">
        <w:rPr>
          <w:rFonts w:hAnsi="宋体" w:hint="eastAsia"/>
          <w:bCs w:val="0"/>
          <w:color w:val="000000" w:themeColor="text1"/>
          <w:sz w:val="24"/>
          <w:lang w:val="es-ES"/>
        </w:rPr>
        <w:t>③</w:t>
      </w:r>
      <w:r w:rsidRPr="00275404">
        <w:rPr>
          <w:rFonts w:hAnsi="宋体" w:hint="eastAsia"/>
          <w:bCs w:val="0"/>
          <w:color w:val="000000" w:themeColor="text1"/>
          <w:sz w:val="24"/>
        </w:rPr>
        <w:t>MBR膜碱洗剂</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化学成分：次氯酸钠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形态要求：液态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外观：微黄色透明液体                                        </w:t>
      </w:r>
    </w:p>
    <w:p w:rsidR="009A2759" w:rsidRPr="00275404" w:rsidRDefault="009A2759" w:rsidP="009A2759">
      <w:pPr>
        <w:spacing w:line="360" w:lineRule="auto"/>
        <w:ind w:firstLineChars="200" w:firstLine="480"/>
        <w:rPr>
          <w:rFonts w:hAnsi="宋体"/>
          <w:bCs w:val="0"/>
          <w:color w:val="000000" w:themeColor="text1"/>
          <w:sz w:val="24"/>
          <w:lang w:val="es-ES"/>
        </w:rPr>
      </w:pPr>
      <w:r w:rsidRPr="00275404">
        <w:rPr>
          <w:rFonts w:hAnsi="宋体" w:hint="eastAsia"/>
          <w:bCs w:val="0"/>
          <w:color w:val="000000" w:themeColor="text1"/>
          <w:sz w:val="24"/>
          <w:lang w:val="es-ES"/>
        </w:rPr>
        <w:t>次氯酸钠（NaClO）质量分数≥</w:t>
      </w:r>
      <w:r w:rsidRPr="00275404">
        <w:rPr>
          <w:rFonts w:hAnsi="宋体" w:hint="eastAsia"/>
          <w:bCs w:val="0"/>
          <w:color w:val="000000" w:themeColor="text1"/>
          <w:sz w:val="24"/>
        </w:rPr>
        <w:t>1</w:t>
      </w:r>
      <w:r w:rsidRPr="00275404">
        <w:rPr>
          <w:rFonts w:hAnsi="宋体" w:hint="eastAsia"/>
          <w:bCs w:val="0"/>
          <w:color w:val="000000" w:themeColor="text1"/>
          <w:sz w:val="24"/>
          <w:lang w:val="es-ES"/>
        </w:rPr>
        <w:t xml:space="preserve">0％  </w:t>
      </w:r>
      <w:r w:rsidRPr="00275404">
        <w:rPr>
          <w:rFonts w:hAnsi="宋体" w:hint="eastAsia"/>
          <w:bCs w:val="0"/>
          <w:color w:val="000000" w:themeColor="text1"/>
          <w:sz w:val="24"/>
        </w:rPr>
        <w:t xml:space="preserve">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④MBR膜酸洗剂</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化学成分：一水柠檬酸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 xml:space="preserve">形态要求：固态                                               </w:t>
      </w:r>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外观：无色结晶或白色晶状粉末</w:t>
      </w:r>
    </w:p>
    <w:p w:rsidR="009A2759" w:rsidRPr="00275404" w:rsidRDefault="009A2759" w:rsidP="009A2759">
      <w:pPr>
        <w:spacing w:line="360" w:lineRule="auto"/>
        <w:ind w:firstLineChars="200" w:firstLine="480"/>
        <w:rPr>
          <w:rFonts w:hAnsi="宋体"/>
          <w:bCs w:val="0"/>
          <w:color w:val="000000" w:themeColor="text1"/>
          <w:sz w:val="24"/>
          <w:lang w:val="es-ES"/>
        </w:rPr>
      </w:pPr>
      <w:r w:rsidRPr="00275404">
        <w:rPr>
          <w:rFonts w:hAnsi="宋体" w:hint="eastAsia"/>
          <w:bCs w:val="0"/>
          <w:color w:val="000000" w:themeColor="text1"/>
          <w:sz w:val="24"/>
          <w:lang w:val="es-ES"/>
        </w:rPr>
        <w:t>一水柠檬酸（C</w:t>
      </w:r>
      <w:r w:rsidRPr="00275404">
        <w:rPr>
          <w:rFonts w:hAnsi="宋体" w:hint="eastAsia"/>
          <w:bCs w:val="0"/>
          <w:color w:val="000000" w:themeColor="text1"/>
          <w:sz w:val="24"/>
          <w:vertAlign w:val="subscript"/>
          <w:lang w:val="es-ES"/>
        </w:rPr>
        <w:t>6</w:t>
      </w:r>
      <w:r w:rsidRPr="00275404">
        <w:rPr>
          <w:rFonts w:hAnsi="宋体" w:hint="eastAsia"/>
          <w:bCs w:val="0"/>
          <w:color w:val="000000" w:themeColor="text1"/>
          <w:sz w:val="24"/>
          <w:lang w:val="es-ES"/>
        </w:rPr>
        <w:t>H</w:t>
      </w:r>
      <w:r w:rsidRPr="00275404">
        <w:rPr>
          <w:rFonts w:hAnsi="宋体" w:hint="eastAsia"/>
          <w:bCs w:val="0"/>
          <w:color w:val="000000" w:themeColor="text1"/>
          <w:sz w:val="24"/>
          <w:vertAlign w:val="subscript"/>
          <w:lang w:val="es-ES"/>
        </w:rPr>
        <w:t>8</w:t>
      </w:r>
      <w:r w:rsidRPr="00275404">
        <w:rPr>
          <w:rFonts w:hAnsi="宋体" w:hint="eastAsia"/>
          <w:bCs w:val="0"/>
          <w:color w:val="000000" w:themeColor="text1"/>
          <w:sz w:val="24"/>
          <w:lang w:val="es-ES"/>
        </w:rPr>
        <w:t>O</w:t>
      </w:r>
      <w:r w:rsidRPr="00275404">
        <w:rPr>
          <w:rFonts w:hAnsi="宋体" w:hint="eastAsia"/>
          <w:bCs w:val="0"/>
          <w:color w:val="000000" w:themeColor="text1"/>
          <w:sz w:val="24"/>
          <w:vertAlign w:val="subscript"/>
          <w:lang w:val="es-ES"/>
        </w:rPr>
        <w:t>7</w:t>
      </w:r>
      <w:r w:rsidRPr="00275404">
        <w:rPr>
          <w:rFonts w:hAnsi="宋体" w:hint="eastAsia"/>
          <w:bCs w:val="0"/>
          <w:color w:val="000000" w:themeColor="text1"/>
          <w:sz w:val="24"/>
          <w:lang w:val="es-ES"/>
        </w:rPr>
        <w:t>·H</w:t>
      </w:r>
      <w:r w:rsidRPr="00275404">
        <w:rPr>
          <w:rFonts w:hAnsi="宋体" w:hint="eastAsia"/>
          <w:bCs w:val="0"/>
          <w:color w:val="000000" w:themeColor="text1"/>
          <w:sz w:val="24"/>
          <w:vertAlign w:val="subscript"/>
          <w:lang w:val="es-ES"/>
        </w:rPr>
        <w:t>2</w:t>
      </w:r>
      <w:r w:rsidRPr="00275404">
        <w:rPr>
          <w:rFonts w:hAnsi="宋体" w:hint="eastAsia"/>
          <w:bCs w:val="0"/>
          <w:color w:val="000000" w:themeColor="text1"/>
          <w:sz w:val="24"/>
          <w:lang w:val="es-ES"/>
        </w:rPr>
        <w:t>O）质量分数≥</w:t>
      </w:r>
      <w:r w:rsidRPr="00275404">
        <w:rPr>
          <w:rFonts w:hAnsi="宋体" w:hint="eastAsia"/>
          <w:bCs w:val="0"/>
          <w:color w:val="000000" w:themeColor="text1"/>
          <w:sz w:val="24"/>
        </w:rPr>
        <w:t>99%</w:t>
      </w:r>
    </w:p>
    <w:p w:rsidR="009A2759" w:rsidRPr="00275404" w:rsidRDefault="009A2759" w:rsidP="009A2759">
      <w:pPr>
        <w:spacing w:line="360" w:lineRule="auto"/>
        <w:outlineLvl w:val="0"/>
        <w:rPr>
          <w:rFonts w:hAnsi="宋体"/>
          <w:bCs w:val="0"/>
          <w:color w:val="000000" w:themeColor="text1"/>
          <w:sz w:val="24"/>
        </w:rPr>
      </w:pPr>
      <w:bookmarkStart w:id="34" w:name="_Toc197292961"/>
      <w:r w:rsidRPr="00275404">
        <w:rPr>
          <w:rFonts w:hAnsi="宋体" w:hint="eastAsia"/>
          <w:bCs w:val="0"/>
          <w:color w:val="000000" w:themeColor="text1"/>
          <w:sz w:val="24"/>
        </w:rPr>
        <w:t>六、商务要求：</w:t>
      </w:r>
      <w:bookmarkEnd w:id="34"/>
    </w:p>
    <w:p w:rsidR="009A2759" w:rsidRPr="00275404" w:rsidRDefault="009A2759" w:rsidP="009A2759">
      <w:pPr>
        <w:spacing w:line="360" w:lineRule="auto"/>
        <w:ind w:firstLineChars="200" w:firstLine="480"/>
        <w:rPr>
          <w:rFonts w:hAnsi="宋体"/>
          <w:bCs w:val="0"/>
          <w:color w:val="000000" w:themeColor="text1"/>
          <w:sz w:val="24"/>
        </w:rPr>
      </w:pPr>
      <w:r w:rsidRPr="00275404">
        <w:rPr>
          <w:rFonts w:hAnsi="宋体" w:hint="eastAsia"/>
          <w:bCs w:val="0"/>
          <w:color w:val="000000" w:themeColor="text1"/>
          <w:sz w:val="24"/>
        </w:rPr>
        <w:t>配备人员、设备有运营能力的单位</w:t>
      </w:r>
    </w:p>
    <w:p w:rsidR="009A2759" w:rsidRPr="00275404" w:rsidRDefault="009A2759" w:rsidP="009A2759">
      <w:pPr>
        <w:spacing w:line="360" w:lineRule="auto"/>
        <w:outlineLvl w:val="0"/>
        <w:rPr>
          <w:rFonts w:hAnsi="宋体"/>
          <w:bCs w:val="0"/>
          <w:color w:val="000000" w:themeColor="text1"/>
          <w:sz w:val="24"/>
        </w:rPr>
      </w:pPr>
      <w:bookmarkStart w:id="35" w:name="_Toc197292962"/>
      <w:r w:rsidRPr="00275404">
        <w:rPr>
          <w:rFonts w:hAnsi="宋体" w:hint="eastAsia"/>
          <w:bCs w:val="0"/>
          <w:color w:val="000000" w:themeColor="text1"/>
          <w:sz w:val="24"/>
        </w:rPr>
        <w:t>服务期限：一年</w:t>
      </w:r>
      <w:bookmarkEnd w:id="35"/>
    </w:p>
    <w:p w:rsidR="009A2759" w:rsidRPr="00275404" w:rsidRDefault="009A2759" w:rsidP="009A2759">
      <w:pPr>
        <w:widowControl/>
        <w:spacing w:line="360" w:lineRule="auto"/>
        <w:jc w:val="left"/>
        <w:rPr>
          <w:rFonts w:hAnsi="宋体"/>
          <w:bCs w:val="0"/>
          <w:color w:val="000000" w:themeColor="text1"/>
          <w:sz w:val="24"/>
        </w:rPr>
      </w:pPr>
      <w:r w:rsidRPr="00275404">
        <w:rPr>
          <w:rFonts w:hAnsi="宋体" w:hint="eastAsia"/>
          <w:bCs w:val="0"/>
          <w:color w:val="000000" w:themeColor="text1"/>
          <w:sz w:val="24"/>
        </w:rPr>
        <w:t>付款方式：</w:t>
      </w:r>
      <w:r w:rsidRPr="00275404">
        <w:rPr>
          <w:rFonts w:hAnsi="宋体" w:hint="eastAsia"/>
          <w:bCs w:val="0"/>
          <w:color w:val="000000" w:themeColor="text1"/>
          <w:kern w:val="0"/>
          <w:sz w:val="24"/>
        </w:rPr>
        <w:t xml:space="preserve"> 每三个月月末支付合同款的25%.</w:t>
      </w:r>
    </w:p>
    <w:p w:rsidR="009A2759" w:rsidRPr="00275404" w:rsidRDefault="009A2759" w:rsidP="009A2759">
      <w:pPr>
        <w:widowControl/>
        <w:spacing w:line="360" w:lineRule="auto"/>
        <w:jc w:val="left"/>
        <w:rPr>
          <w:rFonts w:hAnsi="宋体"/>
          <w:bCs w:val="0"/>
          <w:color w:val="000000" w:themeColor="text1"/>
          <w:sz w:val="24"/>
        </w:rPr>
      </w:pPr>
      <w:r w:rsidRPr="00275404">
        <w:rPr>
          <w:rFonts w:hAnsi="宋体" w:hint="eastAsia"/>
          <w:bCs w:val="0"/>
          <w:color w:val="000000" w:themeColor="text1"/>
          <w:sz w:val="24"/>
        </w:rPr>
        <w:t>踏勘现场：集中踏勘，时间：另行通知。</w:t>
      </w:r>
    </w:p>
    <w:p w:rsidR="009A2759" w:rsidRPr="00275404" w:rsidRDefault="009A2759" w:rsidP="009A2759">
      <w:pPr>
        <w:widowControl/>
        <w:spacing w:line="360" w:lineRule="auto"/>
        <w:jc w:val="left"/>
        <w:rPr>
          <w:rFonts w:hAnsi="宋体"/>
          <w:color w:val="000000" w:themeColor="text1"/>
          <w:sz w:val="24"/>
          <w:u w:val="single"/>
        </w:rPr>
      </w:pPr>
      <w:r w:rsidRPr="00275404">
        <w:rPr>
          <w:rFonts w:hAnsi="宋体" w:hint="eastAsia"/>
          <w:color w:val="000000" w:themeColor="text1"/>
          <w:sz w:val="24"/>
          <w:u w:val="single"/>
        </w:rPr>
        <w:t>委托运营要求：接到中标通知并签订合同后3个工作日内入场</w:t>
      </w: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p>
    <w:p w:rsidR="009A2759" w:rsidRPr="00275404" w:rsidRDefault="009A2759" w:rsidP="009A2759">
      <w:pPr>
        <w:spacing w:line="360" w:lineRule="auto"/>
        <w:outlineLvl w:val="0"/>
        <w:rPr>
          <w:rFonts w:hAnsi="宋体"/>
          <w:bCs w:val="0"/>
          <w:color w:val="000000" w:themeColor="text1"/>
          <w:sz w:val="24"/>
        </w:rPr>
      </w:pPr>
      <w:bookmarkStart w:id="36" w:name="_Toc197292963"/>
      <w:r w:rsidRPr="00275404">
        <w:rPr>
          <w:rFonts w:hAnsi="宋体" w:hint="eastAsia"/>
          <w:bCs w:val="0"/>
          <w:color w:val="000000" w:themeColor="text1"/>
          <w:sz w:val="24"/>
        </w:rPr>
        <w:t>附件一、运营报价明细：</w:t>
      </w:r>
      <w:bookmarkEnd w:id="36"/>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2"/>
        <w:gridCol w:w="1963"/>
        <w:gridCol w:w="3034"/>
        <w:gridCol w:w="1745"/>
        <w:gridCol w:w="1580"/>
      </w:tblGrid>
      <w:tr w:rsidR="009A2759" w:rsidRPr="00275404" w:rsidTr="009562B4">
        <w:tc>
          <w:tcPr>
            <w:tcW w:w="962"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序号</w:t>
            </w:r>
          </w:p>
        </w:tc>
        <w:tc>
          <w:tcPr>
            <w:tcW w:w="4997" w:type="dxa"/>
            <w:gridSpan w:val="2"/>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项目名称</w:t>
            </w:r>
          </w:p>
        </w:tc>
        <w:tc>
          <w:tcPr>
            <w:tcW w:w="1745" w:type="dxa"/>
            <w:vAlign w:val="center"/>
          </w:tcPr>
          <w:p w:rsidR="009A2759" w:rsidRPr="00275404" w:rsidRDefault="009A2759" w:rsidP="009562B4">
            <w:pPr>
              <w:tabs>
                <w:tab w:val="left" w:pos="-1980"/>
              </w:tabs>
              <w:spacing w:line="360" w:lineRule="auto"/>
              <w:jc w:val="center"/>
              <w:rPr>
                <w:rFonts w:hAnsi="宋体"/>
                <w:bCs w:val="0"/>
                <w:color w:val="000000" w:themeColor="text1"/>
                <w:sz w:val="24"/>
              </w:rPr>
            </w:pPr>
            <w:r w:rsidRPr="00275404">
              <w:rPr>
                <w:rFonts w:hAnsi="宋体" w:hint="eastAsia"/>
                <w:bCs w:val="0"/>
                <w:color w:val="000000" w:themeColor="text1"/>
                <w:sz w:val="24"/>
              </w:rPr>
              <w:t>报价</w:t>
            </w:r>
          </w:p>
        </w:tc>
        <w:tc>
          <w:tcPr>
            <w:tcW w:w="1580" w:type="dxa"/>
            <w:vAlign w:val="center"/>
          </w:tcPr>
          <w:p w:rsidR="009A2759" w:rsidRPr="00275404" w:rsidRDefault="009A2759" w:rsidP="009562B4">
            <w:pPr>
              <w:tabs>
                <w:tab w:val="left" w:pos="-1980"/>
              </w:tabs>
              <w:spacing w:line="360" w:lineRule="auto"/>
              <w:jc w:val="center"/>
              <w:rPr>
                <w:rFonts w:hAnsi="宋体"/>
                <w:bCs w:val="0"/>
                <w:color w:val="000000" w:themeColor="text1"/>
                <w:sz w:val="24"/>
              </w:rPr>
            </w:pPr>
            <w:r w:rsidRPr="00275404">
              <w:rPr>
                <w:rFonts w:hAnsi="宋体" w:hint="eastAsia"/>
                <w:bCs w:val="0"/>
                <w:color w:val="000000" w:themeColor="text1"/>
                <w:sz w:val="24"/>
              </w:rPr>
              <w:t>备注</w:t>
            </w:r>
          </w:p>
        </w:tc>
      </w:tr>
      <w:tr w:rsidR="009A2759" w:rsidRPr="00275404" w:rsidTr="009562B4">
        <w:tc>
          <w:tcPr>
            <w:tcW w:w="962"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1</w:t>
            </w:r>
          </w:p>
        </w:tc>
        <w:tc>
          <w:tcPr>
            <w:tcW w:w="4997" w:type="dxa"/>
            <w:gridSpan w:val="2"/>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人员工资及福利费</w:t>
            </w:r>
          </w:p>
        </w:tc>
        <w:tc>
          <w:tcPr>
            <w:tcW w:w="1745" w:type="dxa"/>
            <w:vAlign w:val="center"/>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元/年</w:t>
            </w:r>
          </w:p>
        </w:tc>
        <w:tc>
          <w:tcPr>
            <w:tcW w:w="1580" w:type="dxa"/>
            <w:vAlign w:val="center"/>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rPr>
          <w:trHeight w:val="446"/>
        </w:trPr>
        <w:tc>
          <w:tcPr>
            <w:tcW w:w="962"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2</w:t>
            </w:r>
          </w:p>
        </w:tc>
        <w:tc>
          <w:tcPr>
            <w:tcW w:w="4997" w:type="dxa"/>
            <w:gridSpan w:val="2"/>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出水水质及无组织废气检测费</w:t>
            </w:r>
          </w:p>
        </w:tc>
        <w:tc>
          <w:tcPr>
            <w:tcW w:w="1745" w:type="dxa"/>
            <w:vAlign w:val="center"/>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元/年</w:t>
            </w:r>
          </w:p>
        </w:tc>
        <w:tc>
          <w:tcPr>
            <w:tcW w:w="1580" w:type="dxa"/>
            <w:vAlign w:val="center"/>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rPr>
          <w:trHeight w:val="551"/>
        </w:trPr>
        <w:tc>
          <w:tcPr>
            <w:tcW w:w="962" w:type="dxa"/>
            <w:vMerge w:val="restart"/>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3</w:t>
            </w:r>
          </w:p>
        </w:tc>
        <w:tc>
          <w:tcPr>
            <w:tcW w:w="1963" w:type="dxa"/>
            <w:vMerge w:val="restart"/>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在线上传系统维保费</w:t>
            </w:r>
          </w:p>
        </w:tc>
        <w:tc>
          <w:tcPr>
            <w:tcW w:w="3034"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数据采集传输仪维保费</w:t>
            </w:r>
          </w:p>
        </w:tc>
        <w:tc>
          <w:tcPr>
            <w:tcW w:w="1745" w:type="dxa"/>
            <w:vAlign w:val="center"/>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元/年</w:t>
            </w:r>
          </w:p>
        </w:tc>
        <w:tc>
          <w:tcPr>
            <w:tcW w:w="1580" w:type="dxa"/>
            <w:vAlign w:val="center"/>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rPr>
          <w:trHeight w:val="659"/>
        </w:trPr>
        <w:tc>
          <w:tcPr>
            <w:tcW w:w="962" w:type="dxa"/>
            <w:vMerge/>
            <w:vAlign w:val="center"/>
          </w:tcPr>
          <w:p w:rsidR="009A2759" w:rsidRPr="00275404" w:rsidRDefault="009A2759" w:rsidP="009562B4">
            <w:pPr>
              <w:spacing w:line="360" w:lineRule="auto"/>
              <w:jc w:val="center"/>
              <w:rPr>
                <w:rFonts w:hAnsi="宋体"/>
                <w:bCs w:val="0"/>
                <w:color w:val="000000" w:themeColor="text1"/>
                <w:sz w:val="24"/>
              </w:rPr>
            </w:pPr>
          </w:p>
        </w:tc>
        <w:tc>
          <w:tcPr>
            <w:tcW w:w="1963" w:type="dxa"/>
            <w:vMerge/>
            <w:vAlign w:val="center"/>
          </w:tcPr>
          <w:p w:rsidR="009A2759" w:rsidRPr="00275404" w:rsidRDefault="009A2759" w:rsidP="009562B4">
            <w:pPr>
              <w:spacing w:line="360" w:lineRule="auto"/>
              <w:jc w:val="center"/>
              <w:rPr>
                <w:rFonts w:hAnsi="宋体"/>
                <w:bCs w:val="0"/>
                <w:color w:val="000000" w:themeColor="text1"/>
                <w:sz w:val="24"/>
              </w:rPr>
            </w:pPr>
          </w:p>
        </w:tc>
        <w:tc>
          <w:tcPr>
            <w:tcW w:w="3034"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流量计校准</w:t>
            </w:r>
          </w:p>
        </w:tc>
        <w:tc>
          <w:tcPr>
            <w:tcW w:w="1745" w:type="dxa"/>
            <w:vAlign w:val="center"/>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元/年</w:t>
            </w:r>
          </w:p>
        </w:tc>
        <w:tc>
          <w:tcPr>
            <w:tcW w:w="1580" w:type="dxa"/>
            <w:vAlign w:val="center"/>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c>
          <w:tcPr>
            <w:tcW w:w="962"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4</w:t>
            </w:r>
          </w:p>
        </w:tc>
        <w:tc>
          <w:tcPr>
            <w:tcW w:w="4997" w:type="dxa"/>
            <w:gridSpan w:val="2"/>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污泥及格栅栅渣处置费</w:t>
            </w:r>
          </w:p>
        </w:tc>
        <w:tc>
          <w:tcPr>
            <w:tcW w:w="1745" w:type="dxa"/>
            <w:vAlign w:val="center"/>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元/年</w:t>
            </w:r>
          </w:p>
        </w:tc>
        <w:tc>
          <w:tcPr>
            <w:tcW w:w="1580" w:type="dxa"/>
            <w:vAlign w:val="center"/>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rPr>
          <w:trHeight w:val="279"/>
        </w:trPr>
        <w:tc>
          <w:tcPr>
            <w:tcW w:w="962"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5</w:t>
            </w:r>
          </w:p>
        </w:tc>
        <w:tc>
          <w:tcPr>
            <w:tcW w:w="4997" w:type="dxa"/>
            <w:gridSpan w:val="2"/>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药品费用</w:t>
            </w:r>
          </w:p>
        </w:tc>
        <w:tc>
          <w:tcPr>
            <w:tcW w:w="1745" w:type="dxa"/>
            <w:vAlign w:val="center"/>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元/年</w:t>
            </w:r>
          </w:p>
        </w:tc>
        <w:tc>
          <w:tcPr>
            <w:tcW w:w="1580" w:type="dxa"/>
            <w:vAlign w:val="center"/>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rPr>
          <w:trHeight w:val="544"/>
        </w:trPr>
        <w:tc>
          <w:tcPr>
            <w:tcW w:w="9284" w:type="dxa"/>
            <w:gridSpan w:val="5"/>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合计总费用：</w:t>
            </w: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元/年</w:t>
            </w:r>
          </w:p>
        </w:tc>
      </w:tr>
    </w:tbl>
    <w:p w:rsidR="009A2759" w:rsidRPr="00275404" w:rsidRDefault="009A2759" w:rsidP="009A2759">
      <w:pPr>
        <w:snapToGrid w:val="0"/>
        <w:spacing w:line="360" w:lineRule="auto"/>
        <w:rPr>
          <w:rFonts w:hAnsi="宋体"/>
          <w:bCs w:val="0"/>
          <w:color w:val="000000" w:themeColor="text1"/>
          <w:sz w:val="24"/>
        </w:rPr>
      </w:pPr>
    </w:p>
    <w:p w:rsidR="009A2759" w:rsidRPr="00275404" w:rsidRDefault="009A2759" w:rsidP="009A2759">
      <w:pPr>
        <w:snapToGrid w:val="0"/>
        <w:spacing w:line="360" w:lineRule="auto"/>
        <w:rPr>
          <w:rFonts w:hAnsi="宋体"/>
          <w:bCs w:val="0"/>
          <w:color w:val="000000" w:themeColor="text1"/>
          <w:sz w:val="24"/>
        </w:rPr>
      </w:pPr>
      <w:r w:rsidRPr="00275404">
        <w:rPr>
          <w:rFonts w:hAnsi="宋体" w:hint="eastAsia"/>
          <w:bCs w:val="0"/>
          <w:color w:val="000000" w:themeColor="text1"/>
          <w:sz w:val="24"/>
        </w:rPr>
        <w:t>二、出水水质及无组织废气检测</w:t>
      </w:r>
    </w:p>
    <w:p w:rsidR="009A2759" w:rsidRPr="00275404" w:rsidRDefault="009A2759" w:rsidP="009A2759">
      <w:pPr>
        <w:spacing w:line="360" w:lineRule="auto"/>
        <w:ind w:firstLineChars="200" w:firstLine="480"/>
        <w:outlineLvl w:val="0"/>
        <w:rPr>
          <w:rFonts w:hAnsi="宋体"/>
          <w:bCs w:val="0"/>
          <w:color w:val="000000" w:themeColor="text1"/>
          <w:sz w:val="24"/>
        </w:rPr>
      </w:pPr>
      <w:bookmarkStart w:id="37" w:name="_Toc197292964"/>
      <w:r w:rsidRPr="00275404">
        <w:rPr>
          <w:rFonts w:hAnsi="宋体" w:hint="eastAsia"/>
          <w:bCs w:val="0"/>
          <w:color w:val="000000" w:themeColor="text1"/>
          <w:sz w:val="24"/>
        </w:rPr>
        <w:t>检测内容及频次参照上文第二项运营要求及服务方案，第2.1运营要求，第6条内容，运行单位自行报送检测计划及价格。</w:t>
      </w:r>
      <w:bookmarkEnd w:id="37"/>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30"/>
        <w:gridCol w:w="2829"/>
        <w:gridCol w:w="2219"/>
        <w:gridCol w:w="2219"/>
      </w:tblGrid>
      <w:tr w:rsidR="009A2759" w:rsidRPr="00275404" w:rsidTr="009562B4">
        <w:trPr>
          <w:trHeight w:val="90"/>
          <w:jc w:val="center"/>
        </w:trPr>
        <w:tc>
          <w:tcPr>
            <w:tcW w:w="1130" w:type="dxa"/>
            <w:vAlign w:val="center"/>
          </w:tcPr>
          <w:p w:rsidR="009A2759" w:rsidRPr="00275404" w:rsidRDefault="009A2759" w:rsidP="009562B4">
            <w:pPr>
              <w:spacing w:line="360" w:lineRule="auto"/>
              <w:jc w:val="left"/>
              <w:outlineLvl w:val="0"/>
              <w:rPr>
                <w:rFonts w:hAnsi="宋体"/>
                <w:bCs w:val="0"/>
                <w:color w:val="000000" w:themeColor="text1"/>
                <w:sz w:val="24"/>
              </w:rPr>
            </w:pPr>
            <w:bookmarkStart w:id="38" w:name="_Toc197292965"/>
            <w:r w:rsidRPr="00275404">
              <w:rPr>
                <w:rFonts w:hAnsi="宋体" w:hint="eastAsia"/>
                <w:bCs w:val="0"/>
                <w:color w:val="000000" w:themeColor="text1"/>
                <w:sz w:val="24"/>
              </w:rPr>
              <w:t>序号</w:t>
            </w:r>
            <w:bookmarkEnd w:id="38"/>
          </w:p>
        </w:tc>
        <w:tc>
          <w:tcPr>
            <w:tcW w:w="2829" w:type="dxa"/>
            <w:vAlign w:val="center"/>
          </w:tcPr>
          <w:p w:rsidR="009A2759" w:rsidRPr="00275404" w:rsidRDefault="009A2759" w:rsidP="009562B4">
            <w:pPr>
              <w:spacing w:line="360" w:lineRule="auto"/>
              <w:jc w:val="left"/>
              <w:outlineLvl w:val="0"/>
              <w:rPr>
                <w:rFonts w:hAnsi="宋体"/>
                <w:bCs w:val="0"/>
                <w:color w:val="000000" w:themeColor="text1"/>
                <w:sz w:val="24"/>
              </w:rPr>
            </w:pPr>
            <w:bookmarkStart w:id="39" w:name="_Toc197292966"/>
            <w:r w:rsidRPr="00275404">
              <w:rPr>
                <w:rFonts w:hAnsi="宋体" w:hint="eastAsia"/>
                <w:bCs w:val="0"/>
                <w:color w:val="000000" w:themeColor="text1"/>
                <w:sz w:val="24"/>
              </w:rPr>
              <w:t>项目</w:t>
            </w:r>
            <w:bookmarkEnd w:id="39"/>
          </w:p>
        </w:tc>
        <w:tc>
          <w:tcPr>
            <w:tcW w:w="2219" w:type="dxa"/>
            <w:vAlign w:val="center"/>
          </w:tcPr>
          <w:p w:rsidR="009A2759" w:rsidRPr="00275404" w:rsidRDefault="009A2759" w:rsidP="009562B4">
            <w:pPr>
              <w:spacing w:line="360" w:lineRule="auto"/>
              <w:jc w:val="left"/>
              <w:outlineLvl w:val="0"/>
              <w:rPr>
                <w:rFonts w:hAnsi="宋体"/>
                <w:bCs w:val="0"/>
                <w:color w:val="000000" w:themeColor="text1"/>
                <w:sz w:val="24"/>
              </w:rPr>
            </w:pPr>
            <w:bookmarkStart w:id="40" w:name="_Toc197292967"/>
            <w:r w:rsidRPr="00275404">
              <w:rPr>
                <w:rFonts w:hAnsi="宋体" w:hint="eastAsia"/>
                <w:bCs w:val="0"/>
                <w:color w:val="000000" w:themeColor="text1"/>
                <w:sz w:val="24"/>
              </w:rPr>
              <w:t>频次</w:t>
            </w:r>
            <w:bookmarkEnd w:id="40"/>
          </w:p>
        </w:tc>
        <w:tc>
          <w:tcPr>
            <w:tcW w:w="2219" w:type="dxa"/>
            <w:vAlign w:val="center"/>
          </w:tcPr>
          <w:p w:rsidR="009A2759" w:rsidRPr="00275404" w:rsidRDefault="009A2759" w:rsidP="009562B4">
            <w:pPr>
              <w:spacing w:line="360" w:lineRule="auto"/>
              <w:jc w:val="left"/>
              <w:outlineLvl w:val="0"/>
              <w:rPr>
                <w:rFonts w:hAnsi="宋体"/>
                <w:bCs w:val="0"/>
                <w:color w:val="000000" w:themeColor="text1"/>
                <w:sz w:val="24"/>
              </w:rPr>
            </w:pPr>
            <w:bookmarkStart w:id="41" w:name="_Toc197292968"/>
            <w:r w:rsidRPr="00275404">
              <w:rPr>
                <w:rFonts w:hAnsi="宋体" w:hint="eastAsia"/>
                <w:bCs w:val="0"/>
                <w:color w:val="000000" w:themeColor="text1"/>
                <w:sz w:val="24"/>
              </w:rPr>
              <w:t>备注</w:t>
            </w:r>
            <w:bookmarkEnd w:id="41"/>
          </w:p>
        </w:tc>
      </w:tr>
      <w:tr w:rsidR="009A2759" w:rsidRPr="00275404" w:rsidTr="009562B4">
        <w:trPr>
          <w:trHeight w:val="90"/>
          <w:jc w:val="center"/>
        </w:trPr>
        <w:tc>
          <w:tcPr>
            <w:tcW w:w="1130" w:type="dxa"/>
            <w:vAlign w:val="center"/>
          </w:tcPr>
          <w:p w:rsidR="009A2759" w:rsidRPr="00275404" w:rsidRDefault="009A2759" w:rsidP="009562B4">
            <w:pPr>
              <w:spacing w:line="360" w:lineRule="auto"/>
              <w:jc w:val="center"/>
              <w:outlineLvl w:val="0"/>
              <w:rPr>
                <w:rFonts w:hAnsi="宋体"/>
                <w:bCs w:val="0"/>
                <w:color w:val="000000" w:themeColor="text1"/>
                <w:sz w:val="24"/>
              </w:rPr>
            </w:pPr>
            <w:bookmarkStart w:id="42" w:name="_Toc197292969"/>
            <w:r w:rsidRPr="00275404">
              <w:rPr>
                <w:rFonts w:hAnsi="宋体" w:hint="eastAsia"/>
                <w:bCs w:val="0"/>
                <w:color w:val="000000" w:themeColor="text1"/>
                <w:sz w:val="24"/>
              </w:rPr>
              <w:t>1</w:t>
            </w:r>
            <w:bookmarkEnd w:id="42"/>
          </w:p>
        </w:tc>
        <w:tc>
          <w:tcPr>
            <w:tcW w:w="2829" w:type="dxa"/>
            <w:vAlign w:val="center"/>
          </w:tcPr>
          <w:p w:rsidR="009A2759" w:rsidRPr="00275404" w:rsidRDefault="009A2759" w:rsidP="009562B4">
            <w:pPr>
              <w:spacing w:line="360" w:lineRule="auto"/>
              <w:jc w:val="center"/>
              <w:outlineLvl w:val="0"/>
              <w:rPr>
                <w:rFonts w:hAnsi="宋体"/>
                <w:bCs w:val="0"/>
                <w:color w:val="000000" w:themeColor="text1"/>
                <w:sz w:val="24"/>
              </w:rPr>
            </w:pPr>
            <w:bookmarkStart w:id="43" w:name="_Toc197292970"/>
            <w:r w:rsidRPr="00275404">
              <w:rPr>
                <w:rFonts w:hAnsi="宋体" w:hint="eastAsia"/>
                <w:bCs w:val="0"/>
                <w:color w:val="000000" w:themeColor="text1"/>
                <w:sz w:val="24"/>
              </w:rPr>
              <w:t>…</w:t>
            </w:r>
            <w:bookmarkEnd w:id="43"/>
          </w:p>
        </w:tc>
        <w:tc>
          <w:tcPr>
            <w:tcW w:w="2219" w:type="dxa"/>
            <w:vAlign w:val="center"/>
          </w:tcPr>
          <w:p w:rsidR="009A2759" w:rsidRPr="00275404" w:rsidRDefault="009A2759" w:rsidP="009562B4">
            <w:pPr>
              <w:spacing w:line="360" w:lineRule="auto"/>
              <w:jc w:val="center"/>
              <w:outlineLvl w:val="0"/>
              <w:rPr>
                <w:rFonts w:hAnsi="宋体"/>
                <w:bCs w:val="0"/>
                <w:color w:val="000000" w:themeColor="text1"/>
                <w:sz w:val="24"/>
              </w:rPr>
            </w:pPr>
            <w:bookmarkStart w:id="44" w:name="_Toc197292971"/>
            <w:r w:rsidRPr="00275404">
              <w:rPr>
                <w:rFonts w:hAnsi="宋体" w:hint="eastAsia"/>
                <w:bCs w:val="0"/>
                <w:color w:val="000000" w:themeColor="text1"/>
                <w:sz w:val="24"/>
              </w:rPr>
              <w:t>…</w:t>
            </w:r>
            <w:bookmarkEnd w:id="44"/>
          </w:p>
        </w:tc>
        <w:tc>
          <w:tcPr>
            <w:tcW w:w="2219" w:type="dxa"/>
            <w:vAlign w:val="center"/>
          </w:tcPr>
          <w:p w:rsidR="009A2759" w:rsidRPr="00275404" w:rsidRDefault="009A2759" w:rsidP="009562B4">
            <w:pPr>
              <w:spacing w:line="360" w:lineRule="auto"/>
              <w:ind w:firstLineChars="200" w:firstLine="480"/>
              <w:jc w:val="center"/>
              <w:outlineLvl w:val="0"/>
              <w:rPr>
                <w:rFonts w:hAnsi="宋体"/>
                <w:bCs w:val="0"/>
                <w:color w:val="000000" w:themeColor="text1"/>
                <w:sz w:val="24"/>
              </w:rPr>
            </w:pPr>
          </w:p>
        </w:tc>
      </w:tr>
      <w:tr w:rsidR="009A2759" w:rsidRPr="00275404" w:rsidTr="009562B4">
        <w:trPr>
          <w:trHeight w:val="90"/>
          <w:jc w:val="center"/>
        </w:trPr>
        <w:tc>
          <w:tcPr>
            <w:tcW w:w="1130" w:type="dxa"/>
            <w:vAlign w:val="center"/>
          </w:tcPr>
          <w:p w:rsidR="009A2759" w:rsidRPr="00275404" w:rsidRDefault="009A2759" w:rsidP="009562B4">
            <w:pPr>
              <w:spacing w:line="360" w:lineRule="auto"/>
              <w:jc w:val="center"/>
              <w:outlineLvl w:val="0"/>
              <w:rPr>
                <w:rFonts w:hAnsi="宋体"/>
                <w:bCs w:val="0"/>
                <w:color w:val="000000" w:themeColor="text1"/>
                <w:sz w:val="24"/>
              </w:rPr>
            </w:pPr>
            <w:bookmarkStart w:id="45" w:name="_Toc197292972"/>
            <w:r w:rsidRPr="00275404">
              <w:rPr>
                <w:rFonts w:hAnsi="宋体" w:hint="eastAsia"/>
                <w:bCs w:val="0"/>
                <w:color w:val="000000" w:themeColor="text1"/>
                <w:sz w:val="24"/>
              </w:rPr>
              <w:t>2</w:t>
            </w:r>
            <w:bookmarkEnd w:id="45"/>
          </w:p>
        </w:tc>
        <w:tc>
          <w:tcPr>
            <w:tcW w:w="2829" w:type="dxa"/>
            <w:vAlign w:val="center"/>
          </w:tcPr>
          <w:p w:rsidR="009A2759" w:rsidRPr="00275404" w:rsidRDefault="009A2759" w:rsidP="009562B4">
            <w:pPr>
              <w:spacing w:line="360" w:lineRule="auto"/>
              <w:jc w:val="center"/>
              <w:outlineLvl w:val="0"/>
              <w:rPr>
                <w:rFonts w:hAnsi="宋体"/>
                <w:bCs w:val="0"/>
                <w:color w:val="000000" w:themeColor="text1"/>
                <w:sz w:val="24"/>
              </w:rPr>
            </w:pPr>
            <w:bookmarkStart w:id="46" w:name="_Toc197292973"/>
            <w:r w:rsidRPr="00275404">
              <w:rPr>
                <w:rFonts w:hAnsi="宋体" w:hint="eastAsia"/>
                <w:bCs w:val="0"/>
                <w:color w:val="000000" w:themeColor="text1"/>
                <w:sz w:val="24"/>
              </w:rPr>
              <w:t>…</w:t>
            </w:r>
            <w:bookmarkEnd w:id="46"/>
          </w:p>
        </w:tc>
        <w:tc>
          <w:tcPr>
            <w:tcW w:w="2219" w:type="dxa"/>
            <w:vAlign w:val="center"/>
          </w:tcPr>
          <w:p w:rsidR="009A2759" w:rsidRPr="00275404" w:rsidRDefault="009A2759" w:rsidP="009562B4">
            <w:pPr>
              <w:spacing w:line="360" w:lineRule="auto"/>
              <w:jc w:val="center"/>
              <w:outlineLvl w:val="0"/>
              <w:rPr>
                <w:rFonts w:hAnsi="宋体"/>
                <w:bCs w:val="0"/>
                <w:color w:val="000000" w:themeColor="text1"/>
                <w:sz w:val="24"/>
              </w:rPr>
            </w:pPr>
            <w:bookmarkStart w:id="47" w:name="_Toc197292974"/>
            <w:r w:rsidRPr="00275404">
              <w:rPr>
                <w:rFonts w:hAnsi="宋体" w:hint="eastAsia"/>
                <w:bCs w:val="0"/>
                <w:color w:val="000000" w:themeColor="text1"/>
                <w:sz w:val="24"/>
              </w:rPr>
              <w:t>…</w:t>
            </w:r>
            <w:bookmarkEnd w:id="47"/>
          </w:p>
        </w:tc>
        <w:tc>
          <w:tcPr>
            <w:tcW w:w="2219" w:type="dxa"/>
            <w:vAlign w:val="center"/>
          </w:tcPr>
          <w:p w:rsidR="009A2759" w:rsidRPr="00275404" w:rsidRDefault="009A2759" w:rsidP="009562B4">
            <w:pPr>
              <w:spacing w:line="360" w:lineRule="auto"/>
              <w:ind w:firstLineChars="200" w:firstLine="480"/>
              <w:jc w:val="center"/>
              <w:outlineLvl w:val="0"/>
              <w:rPr>
                <w:rFonts w:hAnsi="宋体"/>
                <w:bCs w:val="0"/>
                <w:color w:val="000000" w:themeColor="text1"/>
                <w:sz w:val="24"/>
              </w:rPr>
            </w:pPr>
          </w:p>
        </w:tc>
      </w:tr>
    </w:tbl>
    <w:p w:rsidR="009A2759" w:rsidRPr="00275404" w:rsidRDefault="009A2759" w:rsidP="009A2759">
      <w:pPr>
        <w:spacing w:line="360" w:lineRule="auto"/>
        <w:rPr>
          <w:rFonts w:hAnsi="宋体"/>
          <w:bCs w:val="0"/>
          <w:color w:val="000000" w:themeColor="text1"/>
          <w:sz w:val="24"/>
        </w:rPr>
      </w:pPr>
      <w:r w:rsidRPr="00275404">
        <w:rPr>
          <w:rFonts w:hAnsi="宋体" w:hint="eastAsia"/>
          <w:bCs w:val="0"/>
          <w:color w:val="000000" w:themeColor="text1"/>
          <w:sz w:val="24"/>
        </w:rPr>
        <w:t xml:space="preserve">    </w:t>
      </w:r>
    </w:p>
    <w:p w:rsidR="009A2759" w:rsidRPr="00275404" w:rsidRDefault="009A2759" w:rsidP="009A2759">
      <w:pPr>
        <w:snapToGrid w:val="0"/>
        <w:spacing w:line="360" w:lineRule="auto"/>
        <w:rPr>
          <w:rFonts w:hAnsi="宋体"/>
          <w:bCs w:val="0"/>
          <w:color w:val="000000" w:themeColor="text1"/>
          <w:sz w:val="24"/>
        </w:rPr>
      </w:pPr>
      <w:r w:rsidRPr="00275404">
        <w:rPr>
          <w:rFonts w:hAnsi="宋体" w:hint="eastAsia"/>
          <w:bCs w:val="0"/>
          <w:color w:val="000000" w:themeColor="text1"/>
          <w:sz w:val="24"/>
        </w:rPr>
        <w:t xml:space="preserve">三、在线上传系统维保费：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904"/>
        <w:gridCol w:w="3136"/>
        <w:gridCol w:w="1572"/>
      </w:tblGrid>
      <w:tr w:rsidR="009A2759" w:rsidRPr="00275404" w:rsidTr="009562B4">
        <w:tc>
          <w:tcPr>
            <w:tcW w:w="765"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序号</w:t>
            </w:r>
          </w:p>
        </w:tc>
        <w:tc>
          <w:tcPr>
            <w:tcW w:w="2904"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项目</w:t>
            </w:r>
          </w:p>
        </w:tc>
        <w:tc>
          <w:tcPr>
            <w:tcW w:w="3136"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要求</w:t>
            </w:r>
          </w:p>
        </w:tc>
        <w:tc>
          <w:tcPr>
            <w:tcW w:w="1572" w:type="dxa"/>
            <w:vAlign w:val="center"/>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c>
          <w:tcPr>
            <w:tcW w:w="765"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1</w:t>
            </w:r>
          </w:p>
        </w:tc>
        <w:tc>
          <w:tcPr>
            <w:tcW w:w="2904" w:type="dxa"/>
          </w:tcPr>
          <w:p w:rsidR="009A2759" w:rsidRPr="00275404" w:rsidRDefault="009A2759" w:rsidP="009562B4">
            <w:pPr>
              <w:spacing w:line="360" w:lineRule="auto"/>
              <w:rPr>
                <w:rFonts w:hAnsi="宋体"/>
                <w:bCs w:val="0"/>
                <w:color w:val="000000" w:themeColor="text1"/>
                <w:sz w:val="24"/>
              </w:rPr>
            </w:pPr>
            <w:r w:rsidRPr="00275404">
              <w:rPr>
                <w:rFonts w:hAnsi="宋体" w:hint="eastAsia"/>
                <w:bCs w:val="0"/>
                <w:color w:val="000000" w:themeColor="text1"/>
                <w:sz w:val="24"/>
              </w:rPr>
              <w:t>数据采集传输仪维保费</w:t>
            </w:r>
          </w:p>
        </w:tc>
        <w:tc>
          <w:tcPr>
            <w:tcW w:w="3136" w:type="dxa"/>
          </w:tcPr>
          <w:p w:rsidR="009A2759" w:rsidRPr="00275404" w:rsidRDefault="009A2759" w:rsidP="009562B4">
            <w:pPr>
              <w:spacing w:line="360" w:lineRule="auto"/>
              <w:rPr>
                <w:rFonts w:hAnsi="宋体"/>
                <w:bCs w:val="0"/>
                <w:color w:val="000000" w:themeColor="text1"/>
                <w:sz w:val="24"/>
              </w:rPr>
            </w:pPr>
            <w:r w:rsidRPr="00275404">
              <w:rPr>
                <w:rFonts w:hAnsi="宋体" w:hint="eastAsia"/>
                <w:bCs w:val="0"/>
                <w:color w:val="000000" w:themeColor="text1"/>
                <w:sz w:val="24"/>
              </w:rPr>
              <w:t>确保在线传输系统正常运转</w:t>
            </w:r>
          </w:p>
        </w:tc>
        <w:tc>
          <w:tcPr>
            <w:tcW w:w="1572" w:type="dxa"/>
          </w:tcPr>
          <w:p w:rsidR="009A2759" w:rsidRPr="00275404" w:rsidRDefault="009A2759" w:rsidP="009562B4">
            <w:pPr>
              <w:spacing w:line="360" w:lineRule="auto"/>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w:t>
            </w:r>
          </w:p>
        </w:tc>
      </w:tr>
      <w:tr w:rsidR="009A2759" w:rsidRPr="00275404" w:rsidTr="009562B4">
        <w:tc>
          <w:tcPr>
            <w:tcW w:w="765"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2</w:t>
            </w:r>
          </w:p>
        </w:tc>
        <w:tc>
          <w:tcPr>
            <w:tcW w:w="2904"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流量计校准</w:t>
            </w:r>
          </w:p>
        </w:tc>
        <w:tc>
          <w:tcPr>
            <w:tcW w:w="3136" w:type="dxa"/>
          </w:tcPr>
          <w:p w:rsidR="009A2759" w:rsidRPr="00275404" w:rsidRDefault="009A2759" w:rsidP="009562B4">
            <w:pPr>
              <w:spacing w:line="360" w:lineRule="auto"/>
              <w:rPr>
                <w:rFonts w:hAnsi="宋体"/>
                <w:bCs w:val="0"/>
                <w:color w:val="000000" w:themeColor="text1"/>
                <w:sz w:val="24"/>
              </w:rPr>
            </w:pPr>
            <w:r w:rsidRPr="00275404">
              <w:rPr>
                <w:rFonts w:hAnsi="宋体" w:hint="eastAsia"/>
                <w:bCs w:val="0"/>
                <w:color w:val="000000" w:themeColor="text1"/>
                <w:sz w:val="24"/>
              </w:rPr>
              <w:t>确保在线监测流量正常运转</w:t>
            </w:r>
          </w:p>
        </w:tc>
        <w:tc>
          <w:tcPr>
            <w:tcW w:w="1572" w:type="dxa"/>
          </w:tcPr>
          <w:p w:rsidR="009A2759" w:rsidRPr="00275404" w:rsidRDefault="009A2759" w:rsidP="009562B4">
            <w:pPr>
              <w:spacing w:line="360" w:lineRule="auto"/>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元/次</w:t>
            </w:r>
          </w:p>
          <w:p w:rsidR="009A2759" w:rsidRPr="00275404" w:rsidRDefault="009A2759" w:rsidP="009562B4">
            <w:pPr>
              <w:spacing w:line="360" w:lineRule="auto"/>
              <w:rPr>
                <w:rFonts w:hAnsi="宋体"/>
                <w:bCs w:val="0"/>
                <w:color w:val="000000" w:themeColor="text1"/>
                <w:sz w:val="24"/>
              </w:rPr>
            </w:pPr>
            <w:r w:rsidRPr="00275404">
              <w:rPr>
                <w:rFonts w:hAnsi="宋体" w:hint="eastAsia"/>
                <w:bCs w:val="0"/>
                <w:color w:val="000000" w:themeColor="text1"/>
                <w:sz w:val="24"/>
              </w:rPr>
              <w:t>共</w:t>
            </w: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w:t>
            </w:r>
          </w:p>
        </w:tc>
      </w:tr>
    </w:tbl>
    <w:p w:rsidR="009A2759" w:rsidRPr="00275404" w:rsidRDefault="009A2759" w:rsidP="009A2759">
      <w:pPr>
        <w:snapToGrid w:val="0"/>
        <w:spacing w:line="360" w:lineRule="auto"/>
        <w:rPr>
          <w:rFonts w:hAnsi="宋体"/>
          <w:bCs w:val="0"/>
          <w:color w:val="000000" w:themeColor="text1"/>
          <w:sz w:val="24"/>
        </w:rPr>
      </w:pPr>
    </w:p>
    <w:p w:rsidR="009A2759" w:rsidRPr="00275404" w:rsidRDefault="009A2759" w:rsidP="009A2759">
      <w:pPr>
        <w:snapToGrid w:val="0"/>
        <w:spacing w:line="360" w:lineRule="auto"/>
        <w:rPr>
          <w:rFonts w:hAnsi="宋体"/>
          <w:bCs w:val="0"/>
          <w:color w:val="000000" w:themeColor="text1"/>
          <w:sz w:val="24"/>
        </w:rPr>
      </w:pPr>
      <w:r w:rsidRPr="00275404">
        <w:rPr>
          <w:rFonts w:hAnsi="宋体" w:hint="eastAsia"/>
          <w:bCs w:val="0"/>
          <w:color w:val="000000" w:themeColor="text1"/>
          <w:sz w:val="24"/>
        </w:rPr>
        <w:t xml:space="preserve">四、污泥及格栅栅渣处置费：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914"/>
        <w:gridCol w:w="3336"/>
        <w:gridCol w:w="2362"/>
      </w:tblGrid>
      <w:tr w:rsidR="009A2759" w:rsidRPr="00275404" w:rsidTr="009562B4">
        <w:trPr>
          <w:trHeight w:val="332"/>
        </w:trPr>
        <w:tc>
          <w:tcPr>
            <w:tcW w:w="765"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lastRenderedPageBreak/>
              <w:t>序号</w:t>
            </w:r>
          </w:p>
        </w:tc>
        <w:tc>
          <w:tcPr>
            <w:tcW w:w="1914"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项目</w:t>
            </w:r>
          </w:p>
        </w:tc>
        <w:tc>
          <w:tcPr>
            <w:tcW w:w="3336" w:type="dxa"/>
            <w:vAlign w:val="center"/>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要求</w:t>
            </w:r>
          </w:p>
        </w:tc>
        <w:tc>
          <w:tcPr>
            <w:tcW w:w="2362" w:type="dxa"/>
            <w:vAlign w:val="center"/>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c>
          <w:tcPr>
            <w:tcW w:w="765"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2</w:t>
            </w:r>
          </w:p>
        </w:tc>
        <w:tc>
          <w:tcPr>
            <w:tcW w:w="1914" w:type="dxa"/>
          </w:tcPr>
          <w:p w:rsidR="009A2759" w:rsidRPr="00275404" w:rsidRDefault="009A2759" w:rsidP="009562B4">
            <w:pPr>
              <w:spacing w:line="360" w:lineRule="auto"/>
              <w:rPr>
                <w:rFonts w:hAnsi="宋体"/>
                <w:bCs w:val="0"/>
                <w:color w:val="000000" w:themeColor="text1"/>
                <w:sz w:val="24"/>
              </w:rPr>
            </w:pPr>
            <w:r w:rsidRPr="00275404">
              <w:rPr>
                <w:rFonts w:hAnsi="宋体" w:hint="eastAsia"/>
                <w:bCs w:val="0"/>
                <w:color w:val="000000" w:themeColor="text1"/>
                <w:sz w:val="24"/>
              </w:rPr>
              <w:t>污泥及格栅栅渣</w:t>
            </w:r>
          </w:p>
        </w:tc>
        <w:tc>
          <w:tcPr>
            <w:tcW w:w="3336" w:type="dxa"/>
          </w:tcPr>
          <w:p w:rsidR="009A2759" w:rsidRPr="00275404" w:rsidRDefault="009A2759" w:rsidP="009562B4">
            <w:pPr>
              <w:spacing w:line="360" w:lineRule="auto"/>
              <w:rPr>
                <w:rFonts w:hAnsi="宋体"/>
                <w:bCs w:val="0"/>
                <w:color w:val="000000" w:themeColor="text1"/>
                <w:sz w:val="24"/>
              </w:rPr>
            </w:pPr>
            <w:r w:rsidRPr="00275404">
              <w:rPr>
                <w:rFonts w:hAnsi="宋体" w:hint="eastAsia"/>
                <w:bCs w:val="0"/>
                <w:color w:val="000000" w:themeColor="text1"/>
                <w:sz w:val="24"/>
              </w:rPr>
              <w:t>送有医疗废物处置资质单位处置</w:t>
            </w:r>
          </w:p>
        </w:tc>
        <w:tc>
          <w:tcPr>
            <w:tcW w:w="2362" w:type="dxa"/>
          </w:tcPr>
          <w:p w:rsidR="009A2759" w:rsidRPr="00275404" w:rsidRDefault="009A2759" w:rsidP="009562B4">
            <w:pPr>
              <w:spacing w:line="360" w:lineRule="auto"/>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元/吨，共</w:t>
            </w: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w:t>
            </w:r>
          </w:p>
        </w:tc>
      </w:tr>
    </w:tbl>
    <w:p w:rsidR="009A2759" w:rsidRPr="00275404" w:rsidRDefault="009A2759" w:rsidP="009A2759">
      <w:pPr>
        <w:snapToGrid w:val="0"/>
        <w:spacing w:line="360" w:lineRule="auto"/>
        <w:rPr>
          <w:rFonts w:hAnsi="宋体"/>
          <w:bCs w:val="0"/>
          <w:color w:val="000000" w:themeColor="text1"/>
          <w:sz w:val="24"/>
        </w:rPr>
      </w:pPr>
      <w:r w:rsidRPr="00275404">
        <w:rPr>
          <w:rFonts w:hAnsi="宋体" w:hint="eastAsia"/>
          <w:bCs w:val="0"/>
          <w:color w:val="000000" w:themeColor="text1"/>
          <w:sz w:val="24"/>
        </w:rPr>
        <w:t>注：按照环保部门要求污泥及格栅栅渣处置需与有医疗废物处置资质的单位签订三方协议，每年处置量≧5吨，费用由运营单位承担。。</w:t>
      </w:r>
    </w:p>
    <w:p w:rsidR="009A2759" w:rsidRPr="00275404" w:rsidRDefault="009A2759" w:rsidP="009A2759">
      <w:pPr>
        <w:snapToGrid w:val="0"/>
        <w:spacing w:line="360" w:lineRule="auto"/>
        <w:rPr>
          <w:rFonts w:hAnsi="宋体"/>
          <w:bCs w:val="0"/>
          <w:color w:val="000000" w:themeColor="text1"/>
          <w:sz w:val="24"/>
        </w:rPr>
      </w:pPr>
    </w:p>
    <w:p w:rsidR="009A2759" w:rsidRPr="00275404" w:rsidRDefault="009A2759" w:rsidP="009A2759">
      <w:pPr>
        <w:snapToGrid w:val="0"/>
        <w:spacing w:line="360" w:lineRule="auto"/>
        <w:rPr>
          <w:rFonts w:hAnsi="宋体"/>
          <w:bCs w:val="0"/>
          <w:color w:val="000000" w:themeColor="text1"/>
          <w:sz w:val="24"/>
        </w:rPr>
      </w:pPr>
      <w:r w:rsidRPr="00275404">
        <w:rPr>
          <w:rFonts w:hAnsi="宋体" w:hint="eastAsia"/>
          <w:bCs w:val="0"/>
          <w:color w:val="000000" w:themeColor="text1"/>
          <w:sz w:val="24"/>
        </w:rPr>
        <w:t>五、药品费用：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954"/>
        <w:gridCol w:w="1781"/>
        <w:gridCol w:w="1425"/>
        <w:gridCol w:w="1455"/>
      </w:tblGrid>
      <w:tr w:rsidR="009A2759" w:rsidRPr="00275404" w:rsidTr="009562B4">
        <w:trPr>
          <w:trHeight w:val="90"/>
        </w:trPr>
        <w:tc>
          <w:tcPr>
            <w:tcW w:w="1879"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名称</w:t>
            </w:r>
          </w:p>
        </w:tc>
        <w:tc>
          <w:tcPr>
            <w:tcW w:w="1954"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化学品名</w:t>
            </w:r>
          </w:p>
        </w:tc>
        <w:tc>
          <w:tcPr>
            <w:tcW w:w="1781"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数量</w:t>
            </w:r>
          </w:p>
        </w:tc>
        <w:tc>
          <w:tcPr>
            <w:tcW w:w="1425"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单价</w:t>
            </w:r>
          </w:p>
        </w:tc>
        <w:tc>
          <w:tcPr>
            <w:tcW w:w="1455"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费用（万元）</w:t>
            </w:r>
          </w:p>
        </w:tc>
      </w:tr>
      <w:tr w:rsidR="009A2759" w:rsidRPr="00275404" w:rsidTr="009562B4">
        <w:trPr>
          <w:trHeight w:val="90"/>
        </w:trPr>
        <w:tc>
          <w:tcPr>
            <w:tcW w:w="1879"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消毒剂</w:t>
            </w:r>
          </w:p>
        </w:tc>
        <w:tc>
          <w:tcPr>
            <w:tcW w:w="1954"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过一硫酸氢钾</w:t>
            </w:r>
          </w:p>
        </w:tc>
        <w:tc>
          <w:tcPr>
            <w:tcW w:w="1781"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365千克/年</w:t>
            </w:r>
          </w:p>
        </w:tc>
        <w:tc>
          <w:tcPr>
            <w:tcW w:w="1425" w:type="dxa"/>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元/千克</w:t>
            </w:r>
          </w:p>
        </w:tc>
        <w:tc>
          <w:tcPr>
            <w:tcW w:w="1455" w:type="dxa"/>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rPr>
          <w:trHeight w:val="313"/>
        </w:trPr>
        <w:tc>
          <w:tcPr>
            <w:tcW w:w="1879"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脱磷剂</w:t>
            </w:r>
          </w:p>
        </w:tc>
        <w:tc>
          <w:tcPr>
            <w:tcW w:w="1954"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聚合氯化铝</w:t>
            </w:r>
          </w:p>
        </w:tc>
        <w:tc>
          <w:tcPr>
            <w:tcW w:w="1781"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1.8吨/年</w:t>
            </w:r>
          </w:p>
        </w:tc>
        <w:tc>
          <w:tcPr>
            <w:tcW w:w="1425" w:type="dxa"/>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元/吨</w:t>
            </w:r>
          </w:p>
        </w:tc>
        <w:tc>
          <w:tcPr>
            <w:tcW w:w="1455" w:type="dxa"/>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rPr>
          <w:trHeight w:val="163"/>
        </w:trPr>
        <w:tc>
          <w:tcPr>
            <w:tcW w:w="1879"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MBR膜碱洗剂</w:t>
            </w:r>
          </w:p>
        </w:tc>
        <w:tc>
          <w:tcPr>
            <w:tcW w:w="1954"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次氯酸钠</w:t>
            </w:r>
          </w:p>
        </w:tc>
        <w:tc>
          <w:tcPr>
            <w:tcW w:w="1781"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1吨/年</w:t>
            </w:r>
          </w:p>
        </w:tc>
        <w:tc>
          <w:tcPr>
            <w:tcW w:w="1425" w:type="dxa"/>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元/吨</w:t>
            </w:r>
          </w:p>
        </w:tc>
        <w:tc>
          <w:tcPr>
            <w:tcW w:w="1455" w:type="dxa"/>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rPr>
          <w:trHeight w:val="90"/>
        </w:trPr>
        <w:tc>
          <w:tcPr>
            <w:tcW w:w="1879"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MBR膜酸洗剂</w:t>
            </w:r>
          </w:p>
        </w:tc>
        <w:tc>
          <w:tcPr>
            <w:tcW w:w="1954"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一水柠檬酸</w:t>
            </w:r>
          </w:p>
        </w:tc>
        <w:tc>
          <w:tcPr>
            <w:tcW w:w="1781" w:type="dxa"/>
          </w:tcPr>
          <w:p w:rsidR="009A2759" w:rsidRPr="00275404" w:rsidRDefault="009A2759" w:rsidP="009562B4">
            <w:pPr>
              <w:spacing w:line="360" w:lineRule="auto"/>
              <w:jc w:val="center"/>
              <w:rPr>
                <w:rFonts w:hAnsi="宋体"/>
                <w:bCs w:val="0"/>
                <w:color w:val="000000" w:themeColor="text1"/>
                <w:sz w:val="24"/>
              </w:rPr>
            </w:pPr>
            <w:r w:rsidRPr="00275404">
              <w:rPr>
                <w:rFonts w:hAnsi="宋体" w:hint="eastAsia"/>
                <w:bCs w:val="0"/>
                <w:color w:val="000000" w:themeColor="text1"/>
                <w:sz w:val="24"/>
              </w:rPr>
              <w:t>0.2吨/年</w:t>
            </w:r>
          </w:p>
        </w:tc>
        <w:tc>
          <w:tcPr>
            <w:tcW w:w="1425" w:type="dxa"/>
          </w:tcPr>
          <w:p w:rsidR="009A2759" w:rsidRPr="00275404" w:rsidRDefault="009A2759" w:rsidP="009562B4">
            <w:pPr>
              <w:spacing w:line="360" w:lineRule="auto"/>
              <w:jc w:val="center"/>
              <w:rPr>
                <w:rFonts w:hAnsi="宋体"/>
                <w:bCs w:val="0"/>
                <w:color w:val="000000" w:themeColor="text1"/>
                <w:sz w:val="24"/>
                <w:u w:val="single"/>
              </w:rPr>
            </w:pPr>
            <w:r w:rsidRPr="00275404">
              <w:rPr>
                <w:rFonts w:hAnsi="宋体" w:hint="eastAsia"/>
                <w:bCs w:val="0"/>
                <w:color w:val="000000" w:themeColor="text1"/>
                <w:sz w:val="24"/>
                <w:u w:val="single"/>
              </w:rPr>
              <w:t xml:space="preserve">   </w:t>
            </w:r>
            <w:r w:rsidRPr="00275404">
              <w:rPr>
                <w:rFonts w:hAnsi="宋体" w:hint="eastAsia"/>
                <w:bCs w:val="0"/>
                <w:color w:val="000000" w:themeColor="text1"/>
                <w:sz w:val="24"/>
              </w:rPr>
              <w:t>元/吨</w:t>
            </w:r>
          </w:p>
        </w:tc>
        <w:tc>
          <w:tcPr>
            <w:tcW w:w="1455" w:type="dxa"/>
          </w:tcPr>
          <w:p w:rsidR="009A2759" w:rsidRPr="00275404" w:rsidRDefault="009A2759" w:rsidP="009562B4">
            <w:pPr>
              <w:spacing w:line="360" w:lineRule="auto"/>
              <w:jc w:val="center"/>
              <w:rPr>
                <w:rFonts w:hAnsi="宋体"/>
                <w:bCs w:val="0"/>
                <w:color w:val="000000" w:themeColor="text1"/>
                <w:sz w:val="24"/>
              </w:rPr>
            </w:pPr>
          </w:p>
        </w:tc>
      </w:tr>
      <w:tr w:rsidR="009A2759" w:rsidRPr="00275404" w:rsidTr="009562B4">
        <w:trPr>
          <w:trHeight w:val="90"/>
        </w:trPr>
        <w:tc>
          <w:tcPr>
            <w:tcW w:w="7039" w:type="dxa"/>
            <w:gridSpan w:val="4"/>
          </w:tcPr>
          <w:p w:rsidR="009A2759" w:rsidRPr="00275404" w:rsidRDefault="009A2759" w:rsidP="009562B4">
            <w:pPr>
              <w:spacing w:line="360" w:lineRule="auto"/>
              <w:ind w:firstLineChars="200" w:firstLine="480"/>
              <w:jc w:val="left"/>
              <w:rPr>
                <w:rFonts w:hAnsi="宋体"/>
                <w:bCs w:val="0"/>
                <w:color w:val="000000" w:themeColor="text1"/>
                <w:sz w:val="24"/>
              </w:rPr>
            </w:pPr>
            <w:r w:rsidRPr="00275404">
              <w:rPr>
                <w:rFonts w:hAnsi="宋体" w:hint="eastAsia"/>
                <w:bCs w:val="0"/>
                <w:color w:val="000000" w:themeColor="text1"/>
                <w:sz w:val="24"/>
              </w:rPr>
              <w:t>合计</w:t>
            </w:r>
          </w:p>
        </w:tc>
        <w:tc>
          <w:tcPr>
            <w:tcW w:w="1455" w:type="dxa"/>
          </w:tcPr>
          <w:p w:rsidR="009A2759" w:rsidRPr="00275404" w:rsidRDefault="009A2759" w:rsidP="009562B4">
            <w:pPr>
              <w:spacing w:line="360" w:lineRule="auto"/>
              <w:jc w:val="center"/>
              <w:rPr>
                <w:rFonts w:hAnsi="宋体"/>
                <w:bCs w:val="0"/>
                <w:color w:val="000000" w:themeColor="text1"/>
                <w:sz w:val="24"/>
              </w:rPr>
            </w:pPr>
          </w:p>
        </w:tc>
      </w:tr>
    </w:tbl>
    <w:p w:rsidR="009A2759" w:rsidRPr="00275404" w:rsidRDefault="009A2759" w:rsidP="009A2759">
      <w:pPr>
        <w:spacing w:line="360" w:lineRule="auto"/>
        <w:ind w:left="560"/>
        <w:jc w:val="left"/>
        <w:rPr>
          <w:rFonts w:hAnsi="宋体"/>
          <w:bCs w:val="0"/>
          <w:color w:val="000000" w:themeColor="text1"/>
          <w:sz w:val="24"/>
        </w:rPr>
      </w:pPr>
    </w:p>
    <w:p w:rsidR="009A2759" w:rsidRPr="00275404" w:rsidRDefault="009A2759" w:rsidP="009A2759">
      <w:pPr>
        <w:spacing w:line="360" w:lineRule="auto"/>
        <w:ind w:left="480" w:hangingChars="200" w:hanging="480"/>
        <w:jc w:val="left"/>
        <w:rPr>
          <w:rFonts w:hAnsi="宋体"/>
          <w:bCs w:val="0"/>
          <w:color w:val="000000" w:themeColor="text1"/>
          <w:sz w:val="24"/>
        </w:rPr>
      </w:pPr>
      <w:r w:rsidRPr="00275404">
        <w:rPr>
          <w:rFonts w:hAnsi="宋体" w:hint="eastAsia"/>
          <w:bCs w:val="0"/>
          <w:color w:val="000000" w:themeColor="text1"/>
          <w:sz w:val="24"/>
        </w:rPr>
        <w:t>附件二：配件清单</w:t>
      </w:r>
    </w:p>
    <w:tbl>
      <w:tblPr>
        <w:tblW w:w="9164" w:type="dxa"/>
        <w:tblInd w:w="-15" w:type="dxa"/>
        <w:tblLayout w:type="fixed"/>
        <w:tblCellMar>
          <w:top w:w="15" w:type="dxa"/>
          <w:left w:w="15" w:type="dxa"/>
          <w:right w:w="15" w:type="dxa"/>
        </w:tblCellMar>
        <w:tblLook w:val="04A0" w:firstRow="1" w:lastRow="0" w:firstColumn="1" w:lastColumn="0" w:noHBand="0" w:noVBand="1"/>
      </w:tblPr>
      <w:tblGrid>
        <w:gridCol w:w="756"/>
        <w:gridCol w:w="3199"/>
        <w:gridCol w:w="962"/>
        <w:gridCol w:w="995"/>
        <w:gridCol w:w="1584"/>
        <w:gridCol w:w="1668"/>
      </w:tblGrid>
      <w:tr w:rsidR="009A2759" w:rsidRPr="00275404" w:rsidTr="009562B4">
        <w:trPr>
          <w:trHeight w:val="420"/>
        </w:trPr>
        <w:tc>
          <w:tcPr>
            <w:tcW w:w="9164" w:type="dxa"/>
            <w:gridSpan w:val="6"/>
            <w:tcBorders>
              <w:top w:val="nil"/>
              <w:left w:val="nil"/>
              <w:bottom w:val="nil"/>
              <w:right w:val="single" w:sz="4" w:space="0" w:color="FFFFFF"/>
            </w:tcBorders>
            <w:noWrap/>
            <w:tcMar>
              <w:top w:w="15" w:type="dxa"/>
              <w:left w:w="15" w:type="dxa"/>
              <w:right w:w="15" w:type="dxa"/>
            </w:tcMar>
            <w:vAlign w:val="bottom"/>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主要设备更换价格表</w:t>
            </w:r>
          </w:p>
        </w:tc>
      </w:tr>
      <w:tr w:rsidR="009A2759" w:rsidRPr="00275404" w:rsidTr="009562B4">
        <w:trPr>
          <w:trHeight w:val="330"/>
        </w:trPr>
        <w:tc>
          <w:tcPr>
            <w:tcW w:w="756" w:type="dxa"/>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序号</w:t>
            </w:r>
          </w:p>
        </w:tc>
        <w:tc>
          <w:tcPr>
            <w:tcW w:w="3199" w:type="dxa"/>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名称及规格</w:t>
            </w:r>
          </w:p>
        </w:tc>
        <w:tc>
          <w:tcPr>
            <w:tcW w:w="962" w:type="dxa"/>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单位</w:t>
            </w:r>
          </w:p>
        </w:tc>
        <w:tc>
          <w:tcPr>
            <w:tcW w:w="995" w:type="dxa"/>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数量</w:t>
            </w:r>
          </w:p>
        </w:tc>
        <w:tc>
          <w:tcPr>
            <w:tcW w:w="1584" w:type="dxa"/>
            <w:tcBorders>
              <w:top w:val="single" w:sz="8"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单价（元）</w:t>
            </w:r>
          </w:p>
        </w:tc>
        <w:tc>
          <w:tcPr>
            <w:tcW w:w="1668" w:type="dxa"/>
            <w:tcBorders>
              <w:top w:val="single" w:sz="8"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品牌</w:t>
            </w: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人力格栅</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2</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潜水搅拌器</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套</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3</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好氧池曝气风机</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4</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除磷加药系统</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5</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提升泵</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2</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6</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MBR膜组件</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套</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7</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MBR膜片</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片</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140</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8</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MBR抽吸泵</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2</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9</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MBR擦洗风机</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2</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10</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膜清洗加药装置</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lastRenderedPageBreak/>
              <w:t>11</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混合液回流泵</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2</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12</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电磁流量计</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13</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浮球液位控制器/液位开关</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14</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UV光氧除臭设备</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台</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15</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压力变送器</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套</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16</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消毒加药装置</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套</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ind w:firstLineChars="100" w:firstLine="240"/>
              <w:rPr>
                <w:rFonts w:hAnsi="宋体"/>
                <w:bCs w:val="0"/>
                <w:color w:val="000000" w:themeColor="text1"/>
                <w:kern w:val="0"/>
                <w:sz w:val="24"/>
                <w:lang w:bidi="ar"/>
              </w:rPr>
            </w:pPr>
            <w:r w:rsidRPr="00275404">
              <w:rPr>
                <w:rFonts w:hAnsi="宋体" w:hint="eastAsia"/>
                <w:bCs w:val="0"/>
                <w:color w:val="000000" w:themeColor="text1"/>
                <w:kern w:val="0"/>
                <w:sz w:val="24"/>
                <w:lang w:bidi="ar"/>
              </w:rPr>
              <w:t>17</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kern w:val="0"/>
                <w:sz w:val="24"/>
                <w:lang w:bidi="ar"/>
              </w:rPr>
              <w:t>脱泥加药装置</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套</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1</w:t>
            </w: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r w:rsidR="009A2759" w:rsidRPr="00275404" w:rsidTr="009562B4">
        <w:trPr>
          <w:trHeight w:val="330"/>
        </w:trPr>
        <w:tc>
          <w:tcPr>
            <w:tcW w:w="756"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ind w:firstLineChars="100" w:firstLine="240"/>
              <w:rPr>
                <w:rFonts w:hAnsi="宋体"/>
                <w:bCs w:val="0"/>
                <w:color w:val="000000" w:themeColor="text1"/>
                <w:kern w:val="0"/>
                <w:sz w:val="24"/>
                <w:lang w:bidi="ar"/>
              </w:rPr>
            </w:pPr>
            <w:r w:rsidRPr="00275404">
              <w:rPr>
                <w:rFonts w:hAnsi="宋体" w:hint="eastAsia"/>
                <w:bCs w:val="0"/>
                <w:color w:val="000000" w:themeColor="text1"/>
                <w:kern w:val="0"/>
                <w:sz w:val="24"/>
                <w:lang w:bidi="ar"/>
              </w:rPr>
              <w:t>18</w:t>
            </w:r>
          </w:p>
        </w:tc>
        <w:tc>
          <w:tcPr>
            <w:tcW w:w="31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left"/>
              <w:rPr>
                <w:rFonts w:hAnsi="宋体"/>
                <w:bCs w:val="0"/>
                <w:color w:val="000000" w:themeColor="text1"/>
                <w:kern w:val="0"/>
                <w:sz w:val="24"/>
                <w:lang w:bidi="ar"/>
              </w:rPr>
            </w:pPr>
            <w:r w:rsidRPr="00275404">
              <w:rPr>
                <w:rFonts w:hAnsi="宋体" w:hint="eastAsia"/>
                <w:bCs w:val="0"/>
                <w:color w:val="000000" w:themeColor="text1"/>
                <w:sz w:val="24"/>
              </w:rPr>
              <w:t>数据采集传输仪</w:t>
            </w:r>
          </w:p>
        </w:tc>
        <w:tc>
          <w:tcPr>
            <w:tcW w:w="9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r w:rsidRPr="00275404">
              <w:rPr>
                <w:rFonts w:hAnsi="宋体" w:hint="eastAsia"/>
                <w:bCs w:val="0"/>
                <w:color w:val="000000" w:themeColor="text1"/>
                <w:kern w:val="0"/>
                <w:sz w:val="24"/>
                <w:lang w:bidi="ar"/>
              </w:rPr>
              <w:t>套</w:t>
            </w:r>
          </w:p>
        </w:tc>
        <w:tc>
          <w:tcPr>
            <w:tcW w:w="9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kern w:val="0"/>
                <w:sz w:val="24"/>
                <w:lang w:bidi="ar"/>
              </w:rPr>
            </w:pPr>
          </w:p>
        </w:tc>
        <w:tc>
          <w:tcPr>
            <w:tcW w:w="1584"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right"/>
              <w:rPr>
                <w:rFonts w:hAnsi="宋体"/>
                <w:bCs w:val="0"/>
                <w:color w:val="000000" w:themeColor="text1"/>
                <w:sz w:val="24"/>
              </w:rPr>
            </w:pPr>
          </w:p>
        </w:tc>
        <w:tc>
          <w:tcPr>
            <w:tcW w:w="1668"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9A2759" w:rsidRPr="00275404" w:rsidRDefault="009A2759" w:rsidP="009562B4">
            <w:pPr>
              <w:widowControl/>
              <w:spacing w:line="360" w:lineRule="auto"/>
              <w:jc w:val="center"/>
              <w:rPr>
                <w:rFonts w:hAnsi="宋体"/>
                <w:bCs w:val="0"/>
                <w:color w:val="000000" w:themeColor="text1"/>
                <w:sz w:val="24"/>
              </w:rPr>
            </w:pPr>
          </w:p>
        </w:tc>
      </w:tr>
    </w:tbl>
    <w:p w:rsidR="00851943" w:rsidRDefault="00851943"/>
    <w:sectPr w:rsidR="00851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4B" w:rsidRDefault="00EF1E4B" w:rsidP="009A2759">
      <w:r>
        <w:separator/>
      </w:r>
    </w:p>
  </w:endnote>
  <w:endnote w:type="continuationSeparator" w:id="0">
    <w:p w:rsidR="00EF1E4B" w:rsidRDefault="00EF1E4B" w:rsidP="009A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4B" w:rsidRDefault="00EF1E4B" w:rsidP="009A2759">
      <w:r>
        <w:separator/>
      </w:r>
    </w:p>
  </w:footnote>
  <w:footnote w:type="continuationSeparator" w:id="0">
    <w:p w:rsidR="00EF1E4B" w:rsidRDefault="00EF1E4B" w:rsidP="009A2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16"/>
    <w:rsid w:val="00124616"/>
    <w:rsid w:val="00851943"/>
    <w:rsid w:val="009A2759"/>
    <w:rsid w:val="00EF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F5644B-FBCF-4FCD-96A7-BFD381C9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759"/>
    <w:pPr>
      <w:widowControl w:val="0"/>
      <w:jc w:val="both"/>
    </w:pPr>
    <w:rPr>
      <w:rFonts w:ascii="宋体" w:eastAsia="宋体" w:hAnsi="Times New Roman" w:cs="Times New Roman"/>
      <w:bCs/>
      <w:sz w:val="28"/>
      <w:szCs w:val="24"/>
    </w:rPr>
  </w:style>
  <w:style w:type="paragraph" w:styleId="1">
    <w:name w:val="heading 1"/>
    <w:basedOn w:val="a"/>
    <w:link w:val="1Char"/>
    <w:rsid w:val="009A2759"/>
    <w:pPr>
      <w:keepNext/>
      <w:keepLines/>
      <w:spacing w:line="360" w:lineRule="auto"/>
      <w:jc w:val="center"/>
      <w:outlineLvl w:val="0"/>
    </w:pPr>
    <w:rPr>
      <w:rFonts w:ascii="Times New Roman"/>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2759"/>
    <w:pPr>
      <w:pBdr>
        <w:bottom w:val="single" w:sz="6" w:space="1" w:color="auto"/>
      </w:pBdr>
      <w:tabs>
        <w:tab w:val="center" w:pos="4153"/>
        <w:tab w:val="right" w:pos="8306"/>
      </w:tabs>
      <w:snapToGrid w:val="0"/>
      <w:jc w:val="center"/>
    </w:pPr>
    <w:rPr>
      <w:rFonts w:asciiTheme="minorHAnsi" w:eastAsiaTheme="minorEastAsia" w:hAnsiTheme="minorHAnsi" w:cstheme="minorBidi"/>
      <w:bCs w:val="0"/>
      <w:sz w:val="18"/>
      <w:szCs w:val="18"/>
    </w:rPr>
  </w:style>
  <w:style w:type="character" w:customStyle="1" w:styleId="Char">
    <w:name w:val="页眉 Char"/>
    <w:basedOn w:val="a0"/>
    <w:link w:val="a3"/>
    <w:uiPriority w:val="99"/>
    <w:rsid w:val="009A2759"/>
    <w:rPr>
      <w:sz w:val="18"/>
      <w:szCs w:val="18"/>
    </w:rPr>
  </w:style>
  <w:style w:type="paragraph" w:styleId="a4">
    <w:name w:val="footer"/>
    <w:basedOn w:val="a"/>
    <w:link w:val="Char0"/>
    <w:uiPriority w:val="99"/>
    <w:unhideWhenUsed/>
    <w:rsid w:val="009A2759"/>
    <w:pPr>
      <w:tabs>
        <w:tab w:val="center" w:pos="4153"/>
        <w:tab w:val="right" w:pos="8306"/>
      </w:tabs>
      <w:snapToGrid w:val="0"/>
      <w:jc w:val="left"/>
    </w:pPr>
    <w:rPr>
      <w:rFonts w:asciiTheme="minorHAnsi" w:eastAsiaTheme="minorEastAsia" w:hAnsiTheme="minorHAnsi" w:cstheme="minorBidi"/>
      <w:bCs w:val="0"/>
      <w:sz w:val="18"/>
      <w:szCs w:val="18"/>
    </w:rPr>
  </w:style>
  <w:style w:type="character" w:customStyle="1" w:styleId="Char0">
    <w:name w:val="页脚 Char"/>
    <w:basedOn w:val="a0"/>
    <w:link w:val="a4"/>
    <w:uiPriority w:val="99"/>
    <w:rsid w:val="009A2759"/>
    <w:rPr>
      <w:sz w:val="18"/>
      <w:szCs w:val="18"/>
    </w:rPr>
  </w:style>
  <w:style w:type="character" w:customStyle="1" w:styleId="1Char">
    <w:name w:val="标题 1 Char"/>
    <w:basedOn w:val="a0"/>
    <w:link w:val="1"/>
    <w:rsid w:val="009A275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648</Words>
  <Characters>3698</Characters>
  <Application>Microsoft Office Word</Application>
  <DocSecurity>0</DocSecurity>
  <Lines>30</Lines>
  <Paragraphs>8</Paragraphs>
  <ScaleCrop>false</ScaleCrop>
  <Company>微软中国</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许健</dc:creator>
  <cp:keywords/>
  <dc:description/>
  <cp:lastModifiedBy>许健</cp:lastModifiedBy>
  <cp:revision>2</cp:revision>
  <dcterms:created xsi:type="dcterms:W3CDTF">2025-05-06T08:35:00Z</dcterms:created>
  <dcterms:modified xsi:type="dcterms:W3CDTF">2025-05-06T08:35:00Z</dcterms:modified>
</cp:coreProperties>
</file>