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AC" w:rsidRDefault="000178AC" w:rsidP="000178AC">
      <w:pPr>
        <w:jc w:val="center"/>
        <w:rPr>
          <w:rFonts w:asciiTheme="minorEastAsia" w:hAnsiTheme="minorEastAsia"/>
          <w:sz w:val="36"/>
          <w:szCs w:val="36"/>
        </w:rPr>
      </w:pPr>
      <w:r>
        <w:rPr>
          <w:rFonts w:asciiTheme="minorEastAsia" w:hAnsiTheme="minorEastAsia" w:hint="eastAsia"/>
          <w:sz w:val="36"/>
          <w:szCs w:val="36"/>
        </w:rPr>
        <w:t>山东大学附属生殖医院</w:t>
      </w:r>
    </w:p>
    <w:p w:rsidR="000178AC" w:rsidRDefault="000B2C19" w:rsidP="000178AC">
      <w:pPr>
        <w:jc w:val="center"/>
        <w:rPr>
          <w:rFonts w:asciiTheme="minorEastAsia" w:hAnsiTheme="minorEastAsia"/>
          <w:sz w:val="36"/>
          <w:szCs w:val="36"/>
        </w:rPr>
      </w:pPr>
      <w:r w:rsidRPr="008571CC">
        <w:rPr>
          <w:rFonts w:asciiTheme="minorEastAsia" w:hAnsiTheme="minorEastAsia" w:hint="eastAsia"/>
          <w:sz w:val="36"/>
          <w:szCs w:val="36"/>
        </w:rPr>
        <w:t>ART病案管理和</w:t>
      </w:r>
      <w:proofErr w:type="gramStart"/>
      <w:r w:rsidRPr="008571CC">
        <w:rPr>
          <w:rFonts w:asciiTheme="minorEastAsia" w:hAnsiTheme="minorEastAsia" w:hint="eastAsia"/>
          <w:sz w:val="36"/>
          <w:szCs w:val="36"/>
        </w:rPr>
        <w:t>医患</w:t>
      </w:r>
      <w:proofErr w:type="gramEnd"/>
      <w:r w:rsidRPr="008571CC">
        <w:rPr>
          <w:rFonts w:asciiTheme="minorEastAsia" w:hAnsiTheme="minorEastAsia" w:hint="eastAsia"/>
          <w:sz w:val="36"/>
          <w:szCs w:val="36"/>
        </w:rPr>
        <w:t>服务平台三期项目</w:t>
      </w:r>
      <w:r w:rsidRPr="008571CC">
        <w:rPr>
          <w:rFonts w:asciiTheme="minorEastAsia" w:hAnsiTheme="minorEastAsia" w:hint="eastAsia"/>
          <w:szCs w:val="21"/>
        </w:rPr>
        <w:t>（随访及患者推送服务）</w:t>
      </w:r>
      <w:r w:rsidR="000178AC">
        <w:rPr>
          <w:rFonts w:asciiTheme="minorEastAsia" w:hAnsiTheme="minorEastAsia" w:hint="eastAsia"/>
          <w:sz w:val="36"/>
          <w:szCs w:val="36"/>
        </w:rPr>
        <w:t>公开招标报名公告附件</w:t>
      </w:r>
    </w:p>
    <w:p w:rsidR="000178AC" w:rsidRDefault="000178AC" w:rsidP="000178AC">
      <w:pPr>
        <w:rPr>
          <w:sz w:val="28"/>
          <w:szCs w:val="28"/>
        </w:rPr>
      </w:pPr>
      <w:r>
        <w:rPr>
          <w:rFonts w:hint="eastAsia"/>
          <w:sz w:val="28"/>
          <w:szCs w:val="28"/>
        </w:rPr>
        <w:t>技术参数要求：</w:t>
      </w:r>
    </w:p>
    <w:p w:rsidR="00437B33" w:rsidRPr="00437B33" w:rsidRDefault="00437B33" w:rsidP="00437B33">
      <w:pPr>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（一）</w:t>
      </w:r>
      <w:r w:rsidRPr="00437B33">
        <w:rPr>
          <w:rFonts w:ascii="Times New Roman" w:eastAsia="宋体" w:hAnsi="Times New Roman" w:cs="Times New Roman"/>
          <w:color w:val="000000"/>
          <w:sz w:val="28"/>
          <w:szCs w:val="28"/>
        </w:rPr>
        <w:t>ART</w:t>
      </w:r>
      <w:r w:rsidRPr="00437B33">
        <w:rPr>
          <w:rFonts w:ascii="Times New Roman" w:eastAsia="宋体" w:hAnsi="Times New Roman" w:cs="Times New Roman" w:hint="eastAsia"/>
          <w:color w:val="000000"/>
          <w:sz w:val="28"/>
          <w:szCs w:val="28"/>
        </w:rPr>
        <w:t>病案管理：</w:t>
      </w:r>
      <w:r w:rsidRPr="00437B33">
        <w:rPr>
          <w:rFonts w:ascii="Times New Roman" w:eastAsia="宋体" w:hAnsi="Times New Roman" w:cs="Times New Roman"/>
          <w:color w:val="000000"/>
          <w:sz w:val="28"/>
          <w:szCs w:val="28"/>
        </w:rPr>
        <w:t xml:space="preserve">  </w:t>
      </w:r>
    </w:p>
    <w:tbl>
      <w:tblPr>
        <w:tblpPr w:leftFromText="180" w:rightFromText="180" w:vertAnchor="text" w:horzAnchor="margin" w:tblpXSpec="center" w:tblpY="8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42"/>
        <w:gridCol w:w="2551"/>
        <w:gridCol w:w="3969"/>
      </w:tblGrid>
      <w:tr w:rsidR="00437B33" w:rsidRPr="00437B33" w:rsidTr="004966ED">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序号</w:t>
            </w:r>
          </w:p>
        </w:tc>
        <w:tc>
          <w:tcPr>
            <w:tcW w:w="1242" w:type="dxa"/>
          </w:tcPr>
          <w:p w:rsidR="00437B33" w:rsidRPr="00437B33" w:rsidRDefault="00437B33" w:rsidP="00437B33">
            <w:pPr>
              <w:spacing w:line="360" w:lineRule="auto"/>
              <w:jc w:val="center"/>
              <w:rPr>
                <w:rFonts w:ascii="宋体" w:eastAsia="宋体" w:hAnsi="宋体" w:cs="Times New Roman"/>
                <w:color w:val="000000"/>
                <w:sz w:val="24"/>
                <w:szCs w:val="24"/>
              </w:rPr>
            </w:pPr>
            <w:r w:rsidRPr="00437B33">
              <w:rPr>
                <w:rFonts w:ascii="宋体" w:eastAsia="宋体" w:hAnsi="宋体" w:cs="Times New Roman" w:hint="eastAsia"/>
                <w:color w:val="000000"/>
                <w:sz w:val="24"/>
                <w:szCs w:val="24"/>
              </w:rPr>
              <w:t>名称</w:t>
            </w:r>
          </w:p>
        </w:tc>
        <w:tc>
          <w:tcPr>
            <w:tcW w:w="2551" w:type="dxa"/>
          </w:tcPr>
          <w:p w:rsidR="00437B33" w:rsidRPr="00437B33" w:rsidRDefault="00437B33" w:rsidP="00437B33">
            <w:pPr>
              <w:spacing w:line="360" w:lineRule="auto"/>
              <w:jc w:val="center"/>
              <w:rPr>
                <w:rFonts w:ascii="宋体" w:eastAsia="宋体" w:hAnsi="宋体" w:cs="Times New Roman"/>
                <w:color w:val="000000"/>
                <w:sz w:val="24"/>
                <w:szCs w:val="24"/>
                <w:u w:val="single"/>
              </w:rPr>
            </w:pPr>
            <w:r w:rsidRPr="00437B33">
              <w:rPr>
                <w:rFonts w:ascii="宋体" w:eastAsia="宋体" w:hAnsi="宋体" w:cs="Times New Roman" w:hint="eastAsia"/>
                <w:color w:val="000000"/>
                <w:sz w:val="24"/>
                <w:szCs w:val="24"/>
              </w:rPr>
              <w:t>功能要求</w:t>
            </w:r>
          </w:p>
        </w:tc>
        <w:tc>
          <w:tcPr>
            <w:tcW w:w="3969" w:type="dxa"/>
          </w:tcPr>
          <w:p w:rsidR="00437B33" w:rsidRPr="00437B33" w:rsidRDefault="00437B33" w:rsidP="00437B33">
            <w:pPr>
              <w:spacing w:line="360" w:lineRule="auto"/>
              <w:jc w:val="center"/>
              <w:rPr>
                <w:rFonts w:ascii="宋体" w:eastAsia="宋体" w:hAnsi="宋体" w:cs="Times New Roman"/>
                <w:color w:val="000000"/>
                <w:sz w:val="24"/>
                <w:szCs w:val="24"/>
              </w:rPr>
            </w:pPr>
            <w:r w:rsidRPr="00437B33">
              <w:rPr>
                <w:rFonts w:ascii="宋体" w:eastAsia="宋体" w:hAnsi="宋体" w:cs="Times New Roman"/>
                <w:color w:val="000000"/>
                <w:sz w:val="24"/>
                <w:szCs w:val="24"/>
              </w:rPr>
              <w:t>详细描述</w:t>
            </w:r>
          </w:p>
        </w:tc>
      </w:tr>
      <w:tr w:rsidR="00437B33" w:rsidRPr="00437B33" w:rsidTr="004966ED">
        <w:trPr>
          <w:trHeight w:val="516"/>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w:t>
            </w:r>
          </w:p>
        </w:tc>
        <w:tc>
          <w:tcPr>
            <w:tcW w:w="1242" w:type="dxa"/>
            <w:vMerge w:val="restart"/>
          </w:tcPr>
          <w:p w:rsidR="00437B33" w:rsidRPr="00437B33" w:rsidRDefault="00437B33" w:rsidP="00437B33">
            <w:pPr>
              <w:spacing w:line="360" w:lineRule="auto"/>
              <w:jc w:val="center"/>
              <w:rPr>
                <w:rFonts w:ascii="宋体" w:eastAsia="宋体" w:hAnsi="宋体" w:cs="Times New Roman" w:hint="eastAsia"/>
                <w:color w:val="000000"/>
                <w:sz w:val="24"/>
                <w:szCs w:val="24"/>
              </w:rPr>
            </w:pPr>
          </w:p>
          <w:p w:rsidR="00437B33" w:rsidRPr="00437B33" w:rsidRDefault="00437B33" w:rsidP="00437B33">
            <w:pPr>
              <w:spacing w:line="360" w:lineRule="auto"/>
              <w:jc w:val="center"/>
              <w:rPr>
                <w:rFonts w:ascii="宋体" w:eastAsia="宋体" w:hAnsi="宋体" w:cs="Times New Roman" w:hint="eastAsia"/>
                <w:color w:val="000000"/>
                <w:sz w:val="24"/>
                <w:szCs w:val="24"/>
              </w:rPr>
            </w:pPr>
          </w:p>
          <w:p w:rsidR="00437B33" w:rsidRPr="00437B33" w:rsidRDefault="00437B33" w:rsidP="00437B33">
            <w:pPr>
              <w:spacing w:line="360" w:lineRule="auto"/>
              <w:jc w:val="center"/>
              <w:rPr>
                <w:rFonts w:ascii="宋体" w:eastAsia="宋体" w:hAnsi="宋体" w:cs="Times New Roman" w:hint="eastAsia"/>
                <w:color w:val="000000"/>
                <w:sz w:val="24"/>
                <w:szCs w:val="24"/>
              </w:rPr>
            </w:pPr>
          </w:p>
          <w:p w:rsidR="00437B33" w:rsidRPr="00437B33" w:rsidRDefault="00437B33" w:rsidP="00437B33">
            <w:pPr>
              <w:spacing w:line="360" w:lineRule="auto"/>
              <w:jc w:val="center"/>
              <w:rPr>
                <w:rFonts w:ascii="宋体" w:eastAsia="宋体" w:hAnsi="宋体" w:cs="Times New Roman" w:hint="eastAsia"/>
                <w:color w:val="000000"/>
                <w:sz w:val="24"/>
                <w:szCs w:val="24"/>
              </w:rPr>
            </w:pPr>
          </w:p>
          <w:p w:rsidR="00437B33" w:rsidRPr="00437B33" w:rsidRDefault="00437B33" w:rsidP="00437B33">
            <w:pPr>
              <w:spacing w:line="360" w:lineRule="auto"/>
              <w:jc w:val="center"/>
              <w:rPr>
                <w:rFonts w:ascii="宋体" w:eastAsia="宋体" w:hAnsi="宋体" w:cs="Times New Roman" w:hint="eastAsia"/>
                <w:color w:val="000000"/>
                <w:sz w:val="24"/>
                <w:szCs w:val="24"/>
              </w:rPr>
            </w:pPr>
          </w:p>
          <w:p w:rsidR="00437B33" w:rsidRPr="00437B33" w:rsidRDefault="00437B33" w:rsidP="00437B33">
            <w:pPr>
              <w:spacing w:line="360" w:lineRule="auto"/>
              <w:jc w:val="center"/>
              <w:rPr>
                <w:rFonts w:ascii="宋体" w:eastAsia="宋体" w:hAnsi="宋体" w:cs="Times New Roman" w:hint="eastAsia"/>
                <w:color w:val="000000"/>
                <w:sz w:val="24"/>
                <w:szCs w:val="24"/>
              </w:rPr>
            </w:pPr>
          </w:p>
          <w:p w:rsidR="00437B33" w:rsidRPr="00437B33" w:rsidRDefault="00437B33" w:rsidP="00437B33">
            <w:pPr>
              <w:spacing w:line="360" w:lineRule="auto"/>
              <w:jc w:val="center"/>
              <w:rPr>
                <w:rFonts w:ascii="宋体" w:eastAsia="宋体" w:hAnsi="宋体" w:cs="Times New Roman"/>
                <w:color w:val="000000"/>
                <w:sz w:val="24"/>
                <w:szCs w:val="24"/>
              </w:rPr>
            </w:pPr>
            <w:r w:rsidRPr="00437B33">
              <w:rPr>
                <w:rFonts w:ascii="Times New Roman" w:eastAsia="宋体" w:hAnsi="Times New Roman" w:cs="Times New Roman" w:hint="eastAsia"/>
                <w:color w:val="000000"/>
                <w:sz w:val="28"/>
                <w:szCs w:val="21"/>
                <w:u w:val="single"/>
              </w:rPr>
              <w:t>ART</w:t>
            </w:r>
            <w:r w:rsidRPr="00437B33">
              <w:rPr>
                <w:rFonts w:ascii="Times New Roman" w:eastAsia="宋体" w:hAnsi="Times New Roman" w:cs="Times New Roman" w:hint="eastAsia"/>
                <w:color w:val="000000"/>
                <w:sz w:val="28"/>
                <w:szCs w:val="21"/>
                <w:u w:val="single"/>
              </w:rPr>
              <w:t>病案管理系统</w:t>
            </w:r>
          </w:p>
        </w:tc>
        <w:tc>
          <w:tcPr>
            <w:tcW w:w="2551" w:type="dxa"/>
          </w:tcPr>
          <w:p w:rsidR="00437B33" w:rsidRPr="00437B33" w:rsidRDefault="00437B33" w:rsidP="00437B33">
            <w:pPr>
              <w:spacing w:line="360" w:lineRule="auto"/>
              <w:rPr>
                <w:rFonts w:ascii="Times New Roman" w:eastAsia="宋体" w:hAnsi="Times New Roman" w:cs="Times New Roman"/>
                <w:color w:val="000000"/>
                <w:sz w:val="24"/>
                <w:szCs w:val="24"/>
              </w:rPr>
            </w:pPr>
            <w:r w:rsidRPr="00437B33">
              <w:rPr>
                <w:rFonts w:ascii="Times New Roman" w:eastAsia="宋体" w:hAnsi="Times New Roman" w:cs="Times New Roman" w:hint="eastAsia"/>
                <w:color w:val="000000"/>
                <w:sz w:val="24"/>
                <w:szCs w:val="24"/>
              </w:rPr>
              <w:t>诊室病历查阅</w:t>
            </w:r>
          </w:p>
        </w:tc>
        <w:tc>
          <w:tcPr>
            <w:tcW w:w="3969" w:type="dxa"/>
          </w:tcPr>
          <w:p w:rsidR="00437B33" w:rsidRPr="00437B33" w:rsidRDefault="00437B33" w:rsidP="00437B33">
            <w:pPr>
              <w:spacing w:line="360" w:lineRule="auto"/>
              <w:jc w:val="left"/>
              <w:rPr>
                <w:rFonts w:ascii="宋体" w:eastAsia="宋体" w:hAnsi="宋体" w:cs="Times New Roman"/>
                <w:color w:val="000000"/>
                <w:sz w:val="24"/>
                <w:szCs w:val="24"/>
              </w:rPr>
            </w:pPr>
            <w:r w:rsidRPr="00437B33">
              <w:rPr>
                <w:rFonts w:ascii="Times New Roman" w:eastAsia="宋体" w:hAnsi="Times New Roman" w:cs="Times New Roman" w:hint="eastAsia"/>
                <w:color w:val="000000"/>
                <w:sz w:val="24"/>
                <w:szCs w:val="24"/>
              </w:rPr>
              <w:t>设置查阅权限，（包括人员权限、限制权限、时限、审批等）各科室（诊室、病房、</w:t>
            </w:r>
            <w:r w:rsidRPr="00437B33">
              <w:rPr>
                <w:rFonts w:ascii="Times New Roman" w:eastAsia="宋体" w:hAnsi="Times New Roman" w:cs="Times New Roman" w:hint="eastAsia"/>
                <w:color w:val="000000"/>
                <w:sz w:val="24"/>
                <w:szCs w:val="24"/>
              </w:rPr>
              <w:t>VIP</w:t>
            </w:r>
            <w:r w:rsidRPr="00437B33">
              <w:rPr>
                <w:rFonts w:ascii="Times New Roman" w:eastAsia="宋体" w:hAnsi="Times New Roman" w:cs="Times New Roman" w:hint="eastAsia"/>
                <w:color w:val="000000"/>
                <w:sz w:val="24"/>
                <w:szCs w:val="24"/>
              </w:rPr>
              <w:t>、手术室等）在系统中输入想要查阅病历号，借阅目的等内容后，发出查阅申请。可一次输入单个</w:t>
            </w:r>
            <w:r w:rsidRPr="00437B33">
              <w:rPr>
                <w:rFonts w:ascii="Times New Roman" w:eastAsia="宋体" w:hAnsi="Times New Roman" w:cs="Times New Roman" w:hint="eastAsia"/>
                <w:color w:val="000000"/>
                <w:sz w:val="24"/>
                <w:szCs w:val="24"/>
              </w:rPr>
              <w:t>/</w:t>
            </w:r>
            <w:r w:rsidRPr="00437B33">
              <w:rPr>
                <w:rFonts w:ascii="Times New Roman" w:eastAsia="宋体" w:hAnsi="Times New Roman" w:cs="Times New Roman" w:hint="eastAsia"/>
                <w:color w:val="000000"/>
                <w:sz w:val="24"/>
                <w:szCs w:val="24"/>
              </w:rPr>
              <w:t>多个病历号，实现一键批量借阅。可多科室共同查阅同一本病历。（</w:t>
            </w:r>
            <w:proofErr w:type="gramStart"/>
            <w:r w:rsidRPr="00437B33">
              <w:rPr>
                <w:rFonts w:ascii="Times New Roman" w:eastAsia="宋体" w:hAnsi="Times New Roman" w:cs="Times New Roman" w:hint="eastAsia"/>
                <w:color w:val="000000"/>
                <w:sz w:val="24"/>
                <w:szCs w:val="24"/>
              </w:rPr>
              <w:t>需体现</w:t>
            </w:r>
            <w:proofErr w:type="gramEnd"/>
            <w:r w:rsidRPr="00437B33">
              <w:rPr>
                <w:rFonts w:ascii="Times New Roman" w:eastAsia="宋体" w:hAnsi="Times New Roman" w:cs="Times New Roman" w:hint="eastAsia"/>
                <w:color w:val="000000"/>
                <w:sz w:val="24"/>
                <w:szCs w:val="24"/>
              </w:rPr>
              <w:t>查阅病历的周期数及冻胚、卵子解冻、首页建档日期、）</w:t>
            </w:r>
          </w:p>
        </w:tc>
      </w:tr>
      <w:tr w:rsidR="00437B33" w:rsidRPr="00437B33" w:rsidTr="004966ED">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2</w:t>
            </w:r>
          </w:p>
        </w:tc>
        <w:tc>
          <w:tcPr>
            <w:tcW w:w="1242" w:type="dxa"/>
            <w:vMerge/>
          </w:tcPr>
          <w:p w:rsidR="00437B33" w:rsidRPr="00437B33" w:rsidRDefault="00437B33" w:rsidP="00437B33">
            <w:pPr>
              <w:spacing w:line="360" w:lineRule="auto"/>
              <w:jc w:val="left"/>
              <w:rPr>
                <w:rFonts w:ascii="宋体" w:eastAsia="宋体" w:hAnsi="宋体" w:cs="Times New Roman"/>
                <w:color w:val="000000"/>
                <w:sz w:val="24"/>
                <w:szCs w:val="24"/>
                <w:u w:val="single"/>
              </w:rPr>
            </w:pPr>
          </w:p>
        </w:tc>
        <w:tc>
          <w:tcPr>
            <w:tcW w:w="2551" w:type="dxa"/>
          </w:tcPr>
          <w:p w:rsidR="00437B33" w:rsidRPr="00437B33" w:rsidRDefault="00437B33" w:rsidP="00437B33">
            <w:pPr>
              <w:spacing w:line="360" w:lineRule="auto"/>
              <w:rPr>
                <w:rFonts w:ascii="宋体" w:eastAsia="宋体" w:hAnsi="宋体" w:cs="Times New Roman"/>
                <w:color w:val="000000"/>
                <w:sz w:val="24"/>
                <w:szCs w:val="24"/>
              </w:rPr>
            </w:pPr>
            <w:r w:rsidRPr="00437B33">
              <w:rPr>
                <w:rFonts w:ascii="宋体" w:eastAsia="宋体" w:hAnsi="宋体" w:cs="Times New Roman" w:hint="eastAsia"/>
                <w:color w:val="000000"/>
                <w:sz w:val="24"/>
                <w:szCs w:val="24"/>
              </w:rPr>
              <w:t>诊室病历归档</w:t>
            </w:r>
          </w:p>
        </w:tc>
        <w:tc>
          <w:tcPr>
            <w:tcW w:w="3969" w:type="dxa"/>
          </w:tcPr>
          <w:p w:rsidR="00437B33" w:rsidRPr="00437B33" w:rsidRDefault="00437B33" w:rsidP="00437B33">
            <w:pPr>
              <w:spacing w:line="360" w:lineRule="auto"/>
              <w:jc w:val="left"/>
              <w:rPr>
                <w:rFonts w:ascii="宋体" w:eastAsia="宋体" w:hAnsi="宋体" w:cs="Times New Roman"/>
                <w:color w:val="000000"/>
                <w:sz w:val="24"/>
                <w:szCs w:val="24"/>
              </w:rPr>
            </w:pPr>
            <w:r w:rsidRPr="00437B33">
              <w:rPr>
                <w:rFonts w:ascii="宋体" w:eastAsia="宋体" w:hAnsi="宋体" w:cs="Times New Roman" w:hint="eastAsia"/>
                <w:color w:val="000000"/>
                <w:sz w:val="24"/>
                <w:szCs w:val="24"/>
              </w:rPr>
              <w:t>各科室（诊室、病房、VIP、手术室等）对于当前在本科室的病历可以发出归档请求，以把当前的病历归档到指定的科室或归档病案室，按照归档流程设计相应模块。</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3</w:t>
            </w:r>
          </w:p>
        </w:tc>
        <w:tc>
          <w:tcPr>
            <w:tcW w:w="1242" w:type="dxa"/>
            <w:vMerge/>
          </w:tcPr>
          <w:p w:rsidR="00437B33" w:rsidRPr="00437B33" w:rsidRDefault="00437B33" w:rsidP="00437B33">
            <w:pPr>
              <w:spacing w:line="360" w:lineRule="auto"/>
              <w:jc w:val="left"/>
              <w:rPr>
                <w:rFonts w:ascii="宋体" w:eastAsia="宋体" w:hAnsi="宋体" w:cs="Times New Roman"/>
                <w:color w:val="000000"/>
                <w:sz w:val="24"/>
                <w:szCs w:val="24"/>
                <w:u w:val="single"/>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催还迟送</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根据病历归档要求及规定，对到期未归还病历进行催还（体现诊室</w:t>
            </w:r>
            <w:proofErr w:type="gramStart"/>
            <w:r w:rsidRPr="00437B33">
              <w:rPr>
                <w:rFonts w:ascii="宋体" w:eastAsia="宋体" w:hAnsi="宋体" w:cs="Times New Roman" w:hint="eastAsia"/>
                <w:color w:val="000000"/>
                <w:sz w:val="24"/>
                <w:szCs w:val="24"/>
              </w:rPr>
              <w:t>并责任</w:t>
            </w:r>
            <w:proofErr w:type="gramEnd"/>
            <w:r w:rsidRPr="00437B33">
              <w:rPr>
                <w:rFonts w:ascii="宋体" w:eastAsia="宋体" w:hAnsi="宋体" w:cs="Times New Roman" w:hint="eastAsia"/>
                <w:color w:val="000000"/>
                <w:sz w:val="24"/>
                <w:szCs w:val="24"/>
              </w:rPr>
              <w:t>到人），并统计迟送天数</w:t>
            </w:r>
            <w:proofErr w:type="gramStart"/>
            <w:r w:rsidRPr="00437B33">
              <w:rPr>
                <w:rFonts w:ascii="宋体" w:eastAsia="宋体" w:hAnsi="宋体" w:cs="Times New Roman" w:hint="eastAsia"/>
                <w:color w:val="000000"/>
                <w:sz w:val="24"/>
                <w:szCs w:val="24"/>
              </w:rPr>
              <w:t>及迟送率</w:t>
            </w:r>
            <w:proofErr w:type="gramEnd"/>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4</w:t>
            </w:r>
          </w:p>
        </w:tc>
        <w:tc>
          <w:tcPr>
            <w:tcW w:w="1242" w:type="dxa"/>
            <w:vMerge/>
          </w:tcPr>
          <w:p w:rsidR="00437B33" w:rsidRPr="00437B33" w:rsidRDefault="00437B33" w:rsidP="00437B33">
            <w:pPr>
              <w:spacing w:line="360" w:lineRule="auto"/>
              <w:jc w:val="left"/>
              <w:rPr>
                <w:rFonts w:ascii="宋体" w:eastAsia="宋体" w:hAnsi="宋体" w:cs="Times New Roman"/>
                <w:color w:val="000000"/>
                <w:sz w:val="24"/>
                <w:szCs w:val="24"/>
                <w:u w:val="single"/>
              </w:rPr>
            </w:pPr>
          </w:p>
        </w:tc>
        <w:tc>
          <w:tcPr>
            <w:tcW w:w="2551" w:type="dxa"/>
          </w:tcPr>
          <w:p w:rsidR="00437B33" w:rsidRPr="00437B33" w:rsidRDefault="00437B33" w:rsidP="00437B33">
            <w:pPr>
              <w:spacing w:line="360" w:lineRule="auto"/>
              <w:rPr>
                <w:rFonts w:ascii="宋体" w:eastAsia="宋体" w:hAnsi="宋体" w:cs="Times New Roman"/>
                <w:color w:val="000000"/>
                <w:sz w:val="24"/>
                <w:szCs w:val="24"/>
              </w:rPr>
            </w:pPr>
            <w:r w:rsidRPr="00437B33">
              <w:rPr>
                <w:rFonts w:ascii="宋体" w:eastAsia="宋体" w:hAnsi="宋体" w:cs="Times New Roman" w:hint="eastAsia"/>
                <w:color w:val="000000"/>
                <w:sz w:val="24"/>
                <w:szCs w:val="24"/>
              </w:rPr>
              <w:t>特殊病历借阅</w:t>
            </w:r>
          </w:p>
        </w:tc>
        <w:tc>
          <w:tcPr>
            <w:tcW w:w="3969" w:type="dxa"/>
          </w:tcPr>
          <w:p w:rsidR="00437B33" w:rsidRPr="00437B33" w:rsidRDefault="00437B33" w:rsidP="00437B33">
            <w:pPr>
              <w:spacing w:line="360" w:lineRule="auto"/>
              <w:jc w:val="left"/>
              <w:rPr>
                <w:rFonts w:ascii="宋体" w:eastAsia="宋体" w:hAnsi="宋体" w:cs="Times New Roman"/>
                <w:color w:val="000000"/>
                <w:sz w:val="24"/>
                <w:szCs w:val="24"/>
              </w:rPr>
            </w:pPr>
            <w:r w:rsidRPr="00437B33">
              <w:rPr>
                <w:rFonts w:ascii="宋体" w:eastAsia="宋体" w:hAnsi="宋体" w:cs="Times New Roman" w:hint="eastAsia"/>
                <w:color w:val="000000"/>
                <w:sz w:val="24"/>
                <w:szCs w:val="24"/>
              </w:rPr>
              <w:t>由于个人的科研任务等特殊原因，由个人发起病历借阅请求以及纸质病历获取和签收。</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5</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特殊病历归还</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对于个人发起的特殊病历借阅，在使</w:t>
            </w:r>
            <w:r w:rsidRPr="00437B33">
              <w:rPr>
                <w:rFonts w:ascii="宋体" w:eastAsia="宋体" w:hAnsi="宋体" w:cs="Times New Roman" w:hint="eastAsia"/>
                <w:color w:val="000000"/>
                <w:sz w:val="24"/>
                <w:szCs w:val="24"/>
              </w:rPr>
              <w:lastRenderedPageBreak/>
              <w:t>用完成后，发起归还请求以及送回纸质病历到病案室完成病历归还。</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lastRenderedPageBreak/>
              <w:t>6</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批量病历借阅</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由于处方点评等原因，向病案室发起病历借阅请求以及纸质病历获取和签收。</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批量病历归还</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批量借阅的病历在使用完成后，发起归还请求以及送回纸质病历到病案室完成病历归还。</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7</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病案室病历签收锁定</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对于请求归档到病案室的病历，在收到电子病历后，在线上进行病历的签收锁定操作。对于存在问题的病历，可以线上退回。</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8</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病案质控（人工+电子）</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病历质控功能，如对病历分类管理各自的质控项目；在对病历质控时，可以选择大项，子项的方式（分级）保存扣分记录；系统自动完成病历的等级分数计算；质控人员可以要求病历的责任医师或护士进行整改反馈（增加抽查审核环节），在线发起质控问询及接收质控反馈、质控报表、上报等功能。电子质控模块通过电子</w:t>
            </w:r>
            <w:proofErr w:type="gramStart"/>
            <w:r w:rsidRPr="00437B33">
              <w:rPr>
                <w:rFonts w:ascii="宋体" w:eastAsia="宋体" w:hAnsi="宋体" w:cs="Times New Roman" w:hint="eastAsia"/>
                <w:color w:val="000000"/>
                <w:sz w:val="24"/>
                <w:szCs w:val="24"/>
              </w:rPr>
              <w:t>质控项进行</w:t>
            </w:r>
            <w:proofErr w:type="gramEnd"/>
            <w:r w:rsidRPr="00437B33">
              <w:rPr>
                <w:rFonts w:ascii="宋体" w:eastAsia="宋体" w:hAnsi="宋体" w:cs="Times New Roman" w:hint="eastAsia"/>
                <w:color w:val="000000"/>
                <w:sz w:val="24"/>
                <w:szCs w:val="24"/>
              </w:rPr>
              <w:t>自动质控。</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9</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病历扫描</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须有扫描模块，对于患者提供的资料或者不能生成电子版的病历内容需扫描归入病案管理无纸化系统以保证病历的完整性。</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10</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病案室病历主副本合并、病历号关联并号</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当病历主副本同时归档到病案室时，需要对病历进行主副本合并操作。AID/AIH病历号与试管号关联并号的</w:t>
            </w:r>
            <w:r w:rsidRPr="00437B33">
              <w:rPr>
                <w:rFonts w:ascii="宋体" w:eastAsia="宋体" w:hAnsi="宋体" w:cs="Times New Roman" w:hint="eastAsia"/>
                <w:color w:val="000000"/>
                <w:sz w:val="24"/>
                <w:szCs w:val="24"/>
              </w:rPr>
              <w:lastRenderedPageBreak/>
              <w:t>问题</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lastRenderedPageBreak/>
              <w:t>11</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新老系统病历统一管理</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如把老病历借阅系统的数据按新系统的数据结构要求进行处理并同步到新病历系统的数据库中，保存数据的完整性和一致性。</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12</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消息发送</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在本系统中相应模块内根据需要各操作人员能够发送消息给其他人员或科室、添加警报，也可以查看已收到的他人发送来的消息。</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13</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基本/综合查询、各种统计功能</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实现病历基本/综合信息查询；病历查阅、归档查询；病历打印、下载；病历</w:t>
            </w:r>
            <w:proofErr w:type="gramStart"/>
            <w:r w:rsidRPr="00437B33">
              <w:rPr>
                <w:rFonts w:ascii="宋体" w:eastAsia="宋体" w:hAnsi="宋体" w:cs="Times New Roman" w:hint="eastAsia"/>
                <w:color w:val="000000"/>
                <w:sz w:val="24"/>
                <w:szCs w:val="24"/>
              </w:rPr>
              <w:t>迟送率统计</w:t>
            </w:r>
            <w:proofErr w:type="gramEnd"/>
            <w:r w:rsidRPr="00437B33">
              <w:rPr>
                <w:rFonts w:ascii="宋体" w:eastAsia="宋体" w:hAnsi="宋体" w:cs="Times New Roman" w:hint="eastAsia"/>
                <w:color w:val="000000"/>
                <w:sz w:val="24"/>
                <w:szCs w:val="24"/>
              </w:rPr>
              <w:t>；病历退回情况反馈情况查询；病历副本查询等功能。（统计内容可导出，</w:t>
            </w:r>
            <w:proofErr w:type="gramStart"/>
            <w:r w:rsidRPr="00437B33">
              <w:rPr>
                <w:rFonts w:ascii="宋体" w:eastAsia="宋体" w:hAnsi="宋体" w:cs="Times New Roman" w:hint="eastAsia"/>
                <w:color w:val="000000"/>
                <w:sz w:val="24"/>
                <w:szCs w:val="24"/>
              </w:rPr>
              <w:t>可线上</w:t>
            </w:r>
            <w:proofErr w:type="gramEnd"/>
            <w:r w:rsidRPr="00437B33">
              <w:rPr>
                <w:rFonts w:ascii="宋体" w:eastAsia="宋体" w:hAnsi="宋体" w:cs="Times New Roman" w:hint="eastAsia"/>
                <w:color w:val="000000"/>
                <w:sz w:val="24"/>
                <w:szCs w:val="24"/>
              </w:rPr>
              <w:t>反馈）</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14</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病历锁定及解锁功能</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病历按规定进行锁定，若需</w:t>
            </w:r>
            <w:proofErr w:type="gramStart"/>
            <w:r w:rsidRPr="00437B33">
              <w:rPr>
                <w:rFonts w:ascii="宋体" w:eastAsia="宋体" w:hAnsi="宋体" w:cs="Times New Roman" w:hint="eastAsia"/>
                <w:color w:val="000000"/>
                <w:sz w:val="24"/>
                <w:szCs w:val="24"/>
              </w:rPr>
              <w:t>解锁需</w:t>
            </w:r>
            <w:proofErr w:type="gramEnd"/>
            <w:r w:rsidRPr="00437B33">
              <w:rPr>
                <w:rFonts w:ascii="宋体" w:eastAsia="宋体" w:hAnsi="宋体" w:cs="Times New Roman" w:hint="eastAsia"/>
                <w:color w:val="000000"/>
                <w:sz w:val="24"/>
                <w:szCs w:val="24"/>
              </w:rPr>
              <w:t>走流程申请，获得批准后进行解锁，完成修改后自动锁定。</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15</w:t>
            </w:r>
          </w:p>
        </w:tc>
        <w:tc>
          <w:tcPr>
            <w:tcW w:w="1242" w:type="dxa"/>
            <w:vMerge/>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编码及编码审核</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目前需对疾病诊断及手术及操作名称进行ICD编码。</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16</w:t>
            </w:r>
          </w:p>
        </w:tc>
        <w:tc>
          <w:tcPr>
            <w:tcW w:w="1242" w:type="dxa"/>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问卷调查功能</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向各科室发送问卷调查、接收反馈进行统计。</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17</w:t>
            </w:r>
          </w:p>
        </w:tc>
        <w:tc>
          <w:tcPr>
            <w:tcW w:w="1242" w:type="dxa"/>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系统管理权限</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管理员功能：人员、权限、时限等等</w:t>
            </w:r>
          </w:p>
        </w:tc>
      </w:tr>
      <w:tr w:rsidR="00437B33" w:rsidRPr="00437B33" w:rsidTr="004966ED">
        <w:trPr>
          <w:trHeight w:val="308"/>
        </w:trPr>
        <w:tc>
          <w:tcPr>
            <w:tcW w:w="851" w:type="dxa"/>
          </w:tcPr>
          <w:p w:rsidR="00437B33" w:rsidRPr="00437B33" w:rsidRDefault="00437B33" w:rsidP="00437B33">
            <w:pPr>
              <w:spacing w:line="360" w:lineRule="auto"/>
              <w:jc w:val="center"/>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18</w:t>
            </w:r>
          </w:p>
        </w:tc>
        <w:tc>
          <w:tcPr>
            <w:tcW w:w="1242" w:type="dxa"/>
          </w:tcPr>
          <w:p w:rsidR="00437B33" w:rsidRPr="00437B33" w:rsidRDefault="00437B33" w:rsidP="00437B33">
            <w:pPr>
              <w:spacing w:line="360" w:lineRule="auto"/>
              <w:jc w:val="left"/>
              <w:rPr>
                <w:rFonts w:ascii="Times New Roman" w:eastAsia="宋体" w:hAnsi="Times New Roman" w:cs="Times New Roman" w:hint="eastAsia"/>
                <w:color w:val="000000"/>
                <w:sz w:val="24"/>
                <w:szCs w:val="24"/>
              </w:rPr>
            </w:pPr>
          </w:p>
        </w:tc>
        <w:tc>
          <w:tcPr>
            <w:tcW w:w="2551" w:type="dxa"/>
          </w:tcPr>
          <w:p w:rsidR="00437B33" w:rsidRPr="00437B33" w:rsidRDefault="00437B33" w:rsidP="00437B33">
            <w:pPr>
              <w:spacing w:line="360" w:lineRule="auto"/>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其它无纸化病历管理相关功能</w:t>
            </w:r>
          </w:p>
        </w:tc>
        <w:tc>
          <w:tcPr>
            <w:tcW w:w="3969" w:type="dxa"/>
          </w:tcPr>
          <w:p w:rsidR="00437B33" w:rsidRPr="00437B33" w:rsidRDefault="00437B33" w:rsidP="00437B33">
            <w:pPr>
              <w:spacing w:line="360" w:lineRule="auto"/>
              <w:jc w:val="left"/>
              <w:rPr>
                <w:rFonts w:ascii="宋体" w:eastAsia="宋体" w:hAnsi="宋体" w:cs="Times New Roman" w:hint="eastAsia"/>
                <w:color w:val="000000"/>
                <w:sz w:val="24"/>
                <w:szCs w:val="24"/>
              </w:rPr>
            </w:pPr>
            <w:r w:rsidRPr="00437B33">
              <w:rPr>
                <w:rFonts w:ascii="宋体" w:eastAsia="宋体" w:hAnsi="宋体" w:cs="Times New Roman" w:hint="eastAsia"/>
                <w:color w:val="000000"/>
                <w:sz w:val="24"/>
                <w:szCs w:val="24"/>
              </w:rPr>
              <w:t>如病历检索、库存管理、修改、数据备份等等。</w:t>
            </w:r>
          </w:p>
        </w:tc>
      </w:tr>
    </w:tbl>
    <w:p w:rsidR="00437B33" w:rsidRPr="00437B33" w:rsidRDefault="00437B33" w:rsidP="00437B33">
      <w:pPr>
        <w:rPr>
          <w:rFonts w:ascii="Times New Roman" w:eastAsia="宋体" w:hAnsi="Times New Roman" w:cs="Times New Roman"/>
          <w:color w:val="000000"/>
          <w:sz w:val="28"/>
          <w:szCs w:val="28"/>
        </w:rPr>
      </w:pPr>
      <w:r w:rsidRPr="00437B33">
        <w:rPr>
          <w:rFonts w:ascii="Times New Roman" w:eastAsia="宋体" w:hAnsi="Times New Roman" w:cs="Times New Roman"/>
          <w:color w:val="000000"/>
          <w:sz w:val="28"/>
          <w:szCs w:val="28"/>
        </w:rPr>
        <w:t xml:space="preserve">                   </w:t>
      </w:r>
    </w:p>
    <w:p w:rsidR="00437B33" w:rsidRPr="00437B33" w:rsidRDefault="00437B33" w:rsidP="00437B33">
      <w:pPr>
        <w:rPr>
          <w:rFonts w:ascii="Times New Roman" w:eastAsia="宋体" w:hAnsi="Times New Roman" w:cs="Times New Roman"/>
          <w:color w:val="000000"/>
          <w:sz w:val="28"/>
          <w:szCs w:val="28"/>
        </w:rPr>
      </w:pPr>
      <w:r w:rsidRPr="00437B33">
        <w:rPr>
          <w:rFonts w:ascii="Times New Roman" w:eastAsia="宋体" w:hAnsi="Times New Roman" w:cs="Times New Roman" w:hint="eastAsia"/>
          <w:color w:val="000000"/>
          <w:sz w:val="28"/>
          <w:szCs w:val="28"/>
        </w:rPr>
        <w:t>（二）</w:t>
      </w:r>
      <w:proofErr w:type="gramStart"/>
      <w:r w:rsidRPr="00437B33">
        <w:rPr>
          <w:rFonts w:ascii="Times New Roman" w:eastAsia="宋体" w:hAnsi="Times New Roman" w:cs="Times New Roman" w:hint="eastAsia"/>
          <w:color w:val="000000"/>
          <w:sz w:val="28"/>
          <w:szCs w:val="28"/>
        </w:rPr>
        <w:t>医患服务</w:t>
      </w:r>
      <w:proofErr w:type="gramEnd"/>
      <w:r w:rsidRPr="00437B33">
        <w:rPr>
          <w:rFonts w:ascii="Times New Roman" w:eastAsia="宋体" w:hAnsi="Times New Roman" w:cs="Times New Roman" w:hint="eastAsia"/>
          <w:color w:val="000000"/>
          <w:sz w:val="28"/>
          <w:szCs w:val="28"/>
        </w:rPr>
        <w:t>平台三期（随访及患者推送服务）：</w:t>
      </w:r>
    </w:p>
    <w:p w:rsidR="00437B33" w:rsidRPr="00437B33" w:rsidRDefault="00437B33" w:rsidP="00437B33">
      <w:pPr>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1</w:t>
      </w:r>
      <w:r w:rsidRPr="00437B33">
        <w:rPr>
          <w:rFonts w:ascii="Times New Roman" w:eastAsia="宋体" w:hAnsi="Times New Roman" w:cs="Times New Roman" w:hint="eastAsia"/>
          <w:color w:val="000000"/>
          <w:sz w:val="28"/>
          <w:szCs w:val="28"/>
        </w:rPr>
        <w:t>、</w:t>
      </w:r>
      <w:proofErr w:type="gramStart"/>
      <w:r w:rsidRPr="00437B33">
        <w:rPr>
          <w:rFonts w:ascii="Times New Roman" w:eastAsia="宋体" w:hAnsi="Times New Roman" w:cs="Times New Roman" w:hint="eastAsia"/>
          <w:color w:val="000000"/>
          <w:sz w:val="28"/>
          <w:szCs w:val="28"/>
        </w:rPr>
        <w:t>医患服务</w:t>
      </w:r>
      <w:proofErr w:type="gramEnd"/>
      <w:r w:rsidRPr="00437B33">
        <w:rPr>
          <w:rFonts w:ascii="Times New Roman" w:eastAsia="宋体" w:hAnsi="Times New Roman" w:cs="Times New Roman" w:hint="eastAsia"/>
          <w:color w:val="000000"/>
          <w:sz w:val="28"/>
          <w:szCs w:val="28"/>
        </w:rPr>
        <w:t>平台随访：</w:t>
      </w:r>
    </w:p>
    <w:p w:rsidR="00437B33" w:rsidRPr="00437B33" w:rsidRDefault="00437B33" w:rsidP="00437B33">
      <w:pPr>
        <w:rPr>
          <w:rFonts w:ascii="Times New Roman" w:eastAsia="宋体" w:hAnsi="Times New Roman" w:cs="Times New Roman"/>
          <w:color w:val="000000"/>
          <w:sz w:val="28"/>
          <w:szCs w:val="28"/>
        </w:rPr>
      </w:pPr>
      <w:r w:rsidRPr="00437B33">
        <w:rPr>
          <w:rFonts w:ascii="Times New Roman" w:eastAsia="宋体" w:hAnsi="Times New Roman" w:cs="Times New Roman" w:hint="eastAsia"/>
          <w:color w:val="000000"/>
          <w:sz w:val="28"/>
          <w:szCs w:val="28"/>
        </w:rPr>
        <w:t>1</w:t>
      </w:r>
      <w:r w:rsidRPr="00437B33">
        <w:rPr>
          <w:rFonts w:ascii="Times New Roman" w:eastAsia="宋体" w:hAnsi="Times New Roman" w:cs="Times New Roman" w:hint="eastAsia"/>
          <w:color w:val="000000"/>
          <w:sz w:val="28"/>
          <w:szCs w:val="28"/>
        </w:rPr>
        <w:t>、医院手机</w:t>
      </w:r>
      <w:r w:rsidRPr="00437B33">
        <w:rPr>
          <w:rFonts w:ascii="Times New Roman" w:eastAsia="宋体" w:hAnsi="Times New Roman" w:cs="Times New Roman" w:hint="eastAsia"/>
          <w:color w:val="000000"/>
          <w:sz w:val="28"/>
          <w:szCs w:val="28"/>
        </w:rPr>
        <w:t>APP</w:t>
      </w:r>
      <w:r w:rsidRPr="00437B33">
        <w:rPr>
          <w:rFonts w:ascii="Times New Roman" w:eastAsia="宋体" w:hAnsi="Times New Roman" w:cs="Times New Roman" w:hint="eastAsia"/>
          <w:color w:val="000000"/>
          <w:sz w:val="28"/>
          <w:szCs w:val="28"/>
        </w:rPr>
        <w:t>增加患者随访模块，可以发布随访问卷（问卷模板</w:t>
      </w:r>
      <w:r w:rsidRPr="00437B33">
        <w:rPr>
          <w:rFonts w:ascii="Times New Roman" w:eastAsia="宋体" w:hAnsi="Times New Roman" w:cs="Times New Roman" w:hint="eastAsia"/>
          <w:color w:val="000000"/>
          <w:sz w:val="28"/>
          <w:szCs w:val="28"/>
        </w:rPr>
        <w:lastRenderedPageBreak/>
        <w:t>可编辑、可删除、可新增），供患者填写，患者可上传图片，随访部门可收集可下载。</w:t>
      </w:r>
    </w:p>
    <w:p w:rsidR="00437B33" w:rsidRPr="00437B33" w:rsidRDefault="00437B33" w:rsidP="00437B33">
      <w:pPr>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2</w:t>
      </w:r>
      <w:r w:rsidRPr="00437B33">
        <w:rPr>
          <w:rFonts w:ascii="Times New Roman" w:eastAsia="宋体" w:hAnsi="Times New Roman" w:cs="Times New Roman" w:hint="eastAsia"/>
          <w:color w:val="000000"/>
          <w:sz w:val="28"/>
          <w:szCs w:val="28"/>
        </w:rPr>
        <w:t>、可以向患者推送信息，患者进入系统时给予提示。随访人员登陆系统可以查看患者绑定的手机号码</w:t>
      </w:r>
      <w:r w:rsidRPr="00437B33">
        <w:rPr>
          <w:rFonts w:ascii="Times New Roman" w:eastAsia="宋体" w:hAnsi="Times New Roman" w:cs="Times New Roman" w:hint="eastAsia"/>
          <w:color w:val="000000"/>
          <w:sz w:val="28"/>
          <w:szCs w:val="28"/>
        </w:rPr>
        <w:t>/</w:t>
      </w:r>
      <w:r w:rsidRPr="00437B33">
        <w:rPr>
          <w:rFonts w:ascii="Times New Roman" w:eastAsia="宋体" w:hAnsi="Times New Roman" w:cs="Times New Roman" w:hint="eastAsia"/>
          <w:color w:val="000000"/>
          <w:sz w:val="28"/>
          <w:szCs w:val="28"/>
        </w:rPr>
        <w:t>微信号</w:t>
      </w:r>
      <w:r w:rsidRPr="00437B33">
        <w:rPr>
          <w:rFonts w:ascii="Times New Roman" w:eastAsia="宋体" w:hAnsi="Times New Roman" w:cs="Times New Roman" w:hint="eastAsia"/>
          <w:color w:val="000000"/>
          <w:sz w:val="28"/>
          <w:szCs w:val="28"/>
        </w:rPr>
        <w:t>/</w:t>
      </w:r>
      <w:proofErr w:type="gramStart"/>
      <w:r w:rsidRPr="00437B33">
        <w:rPr>
          <w:rFonts w:ascii="Times New Roman" w:eastAsia="宋体" w:hAnsi="Times New Roman" w:cs="Times New Roman" w:hint="eastAsia"/>
          <w:color w:val="000000"/>
          <w:sz w:val="28"/>
          <w:szCs w:val="28"/>
        </w:rPr>
        <w:t>医</w:t>
      </w:r>
      <w:proofErr w:type="gramEnd"/>
      <w:r w:rsidRPr="00437B33">
        <w:rPr>
          <w:rFonts w:ascii="Times New Roman" w:eastAsia="宋体" w:hAnsi="Times New Roman" w:cs="Times New Roman" w:hint="eastAsia"/>
          <w:color w:val="000000"/>
          <w:sz w:val="28"/>
          <w:szCs w:val="28"/>
        </w:rPr>
        <w:t>卡通号等联系方式</w:t>
      </w:r>
      <w:r w:rsidRPr="00437B33">
        <w:rPr>
          <w:rFonts w:ascii="Times New Roman" w:eastAsia="宋体" w:hAnsi="Times New Roman" w:cs="Times New Roman" w:hint="eastAsia"/>
          <w:color w:val="000000"/>
          <w:sz w:val="28"/>
          <w:szCs w:val="28"/>
        </w:rPr>
        <w:t>,</w:t>
      </w:r>
      <w:r w:rsidRPr="00437B33">
        <w:rPr>
          <w:rFonts w:ascii="Times New Roman" w:eastAsia="宋体" w:hAnsi="Times New Roman" w:cs="Times New Roman" w:hint="eastAsia"/>
          <w:color w:val="000000"/>
          <w:sz w:val="28"/>
          <w:szCs w:val="28"/>
        </w:rPr>
        <w:t>可导出表格。</w:t>
      </w:r>
    </w:p>
    <w:p w:rsidR="00437B33" w:rsidRPr="00437B33" w:rsidRDefault="00437B33" w:rsidP="00437B33">
      <w:pPr>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3</w:t>
      </w:r>
      <w:r w:rsidRPr="00437B33">
        <w:rPr>
          <w:rFonts w:ascii="Times New Roman" w:eastAsia="宋体" w:hAnsi="Times New Roman" w:cs="Times New Roman" w:hint="eastAsia"/>
          <w:color w:val="000000"/>
          <w:sz w:val="28"/>
          <w:szCs w:val="28"/>
        </w:rPr>
        <w:t>、患者填写随访模块后可通过病历系统或随访系统提示随访人员。（建议通过随访系统提示随访人员，因随访系统只有随访人员使用，不影响其他人工作）。</w:t>
      </w:r>
    </w:p>
    <w:p w:rsidR="00437B33" w:rsidRPr="00437B33" w:rsidRDefault="00437B33" w:rsidP="00437B33">
      <w:pPr>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4</w:t>
      </w:r>
      <w:r w:rsidRPr="00437B33">
        <w:rPr>
          <w:rFonts w:ascii="Times New Roman" w:eastAsia="宋体" w:hAnsi="Times New Roman" w:cs="Times New Roman" w:hint="eastAsia"/>
          <w:color w:val="000000"/>
          <w:sz w:val="28"/>
          <w:szCs w:val="28"/>
        </w:rPr>
        <w:t>、患者更改联系方式功能，并保留原有电话注明，</w:t>
      </w:r>
      <w:proofErr w:type="gramStart"/>
      <w:r w:rsidRPr="00437B33">
        <w:rPr>
          <w:rFonts w:ascii="Times New Roman" w:eastAsia="宋体" w:hAnsi="Times New Roman" w:cs="Times New Roman" w:hint="eastAsia"/>
          <w:color w:val="000000"/>
          <w:sz w:val="28"/>
          <w:szCs w:val="28"/>
        </w:rPr>
        <w:t>失访患者</w:t>
      </w:r>
      <w:proofErr w:type="gramEnd"/>
      <w:r w:rsidRPr="00437B33">
        <w:rPr>
          <w:rFonts w:ascii="Times New Roman" w:eastAsia="宋体" w:hAnsi="Times New Roman" w:cs="Times New Roman" w:hint="eastAsia"/>
          <w:color w:val="000000"/>
          <w:sz w:val="28"/>
          <w:szCs w:val="28"/>
        </w:rPr>
        <w:t>随访人员可标记，标记后患者再次上线后自动提示患者修改联系方式，并提醒随访人员该患者上线。医院手机</w:t>
      </w:r>
      <w:r w:rsidRPr="00437B33">
        <w:rPr>
          <w:rFonts w:ascii="Times New Roman" w:eastAsia="宋体" w:hAnsi="Times New Roman" w:cs="Times New Roman" w:hint="eastAsia"/>
          <w:color w:val="000000"/>
          <w:sz w:val="28"/>
          <w:szCs w:val="28"/>
        </w:rPr>
        <w:t>APP</w:t>
      </w:r>
      <w:r w:rsidRPr="00437B33">
        <w:rPr>
          <w:rFonts w:ascii="Times New Roman" w:eastAsia="宋体" w:hAnsi="Times New Roman" w:cs="Times New Roman" w:hint="eastAsia"/>
          <w:color w:val="000000"/>
          <w:sz w:val="28"/>
          <w:szCs w:val="28"/>
        </w:rPr>
        <w:t>如有通话功能随访人员可直接连线患者。</w:t>
      </w:r>
      <w:r w:rsidRPr="00437B33">
        <w:rPr>
          <w:rFonts w:ascii="Times New Roman" w:eastAsia="宋体" w:hAnsi="Times New Roman" w:cs="Times New Roman" w:hint="eastAsia"/>
          <w:color w:val="000000"/>
          <w:sz w:val="28"/>
          <w:szCs w:val="28"/>
        </w:rPr>
        <w:br/>
        <w:t>5</w:t>
      </w:r>
      <w:r w:rsidRPr="00437B33">
        <w:rPr>
          <w:rFonts w:ascii="Times New Roman" w:eastAsia="宋体" w:hAnsi="Times New Roman" w:cs="Times New Roman" w:hint="eastAsia"/>
          <w:color w:val="000000"/>
          <w:sz w:val="28"/>
          <w:szCs w:val="28"/>
        </w:rPr>
        <w:t>、统计工作：如患者修改电话数量、通过手机</w:t>
      </w:r>
      <w:r w:rsidRPr="00437B33">
        <w:rPr>
          <w:rFonts w:ascii="Times New Roman" w:eastAsia="宋体" w:hAnsi="Times New Roman" w:cs="Times New Roman" w:hint="eastAsia"/>
          <w:color w:val="000000"/>
          <w:sz w:val="28"/>
          <w:szCs w:val="28"/>
        </w:rPr>
        <w:t>APP</w:t>
      </w:r>
      <w:r w:rsidRPr="00437B33">
        <w:rPr>
          <w:rFonts w:ascii="Times New Roman" w:eastAsia="宋体" w:hAnsi="Times New Roman" w:cs="Times New Roman" w:hint="eastAsia"/>
          <w:color w:val="000000"/>
          <w:sz w:val="28"/>
          <w:szCs w:val="28"/>
        </w:rPr>
        <w:t>随访的数量，下载患者提交图片的数量等等。</w:t>
      </w:r>
    </w:p>
    <w:p w:rsidR="00437B33" w:rsidRPr="00437B33" w:rsidRDefault="00437B33" w:rsidP="00437B33">
      <w:pPr>
        <w:rPr>
          <w:rFonts w:ascii="Times New Roman" w:eastAsia="宋体" w:hAnsi="Times New Roman" w:cs="Times New Roman"/>
          <w:color w:val="000000"/>
          <w:sz w:val="28"/>
          <w:szCs w:val="28"/>
        </w:rPr>
      </w:pPr>
      <w:r w:rsidRPr="00437B33">
        <w:rPr>
          <w:rFonts w:ascii="Times New Roman" w:eastAsia="宋体" w:hAnsi="Times New Roman" w:cs="Times New Roman"/>
          <w:color w:val="000000"/>
          <w:sz w:val="28"/>
          <w:szCs w:val="28"/>
        </w:rPr>
        <w:t>2</w:t>
      </w:r>
      <w:r w:rsidRPr="00437B33">
        <w:rPr>
          <w:rFonts w:ascii="Times New Roman" w:eastAsia="宋体" w:hAnsi="Times New Roman" w:cs="Times New Roman" w:hint="eastAsia"/>
          <w:color w:val="000000"/>
          <w:sz w:val="28"/>
          <w:szCs w:val="28"/>
        </w:rPr>
        <w:t>、患者推送服务：</w:t>
      </w:r>
    </w:p>
    <w:p w:rsidR="00437B33" w:rsidRPr="00437B33" w:rsidRDefault="00437B33" w:rsidP="00437B33">
      <w:pPr>
        <w:ind w:firstLineChars="200" w:firstLine="560"/>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通过平台服务向患者推送就诊信息，包括：</w:t>
      </w:r>
    </w:p>
    <w:p w:rsidR="00437B33" w:rsidRPr="00437B33" w:rsidRDefault="00437B33" w:rsidP="00437B33">
      <w:pPr>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w:t>
      </w:r>
      <w:r w:rsidRPr="00437B33">
        <w:rPr>
          <w:rFonts w:ascii="Times New Roman" w:eastAsia="宋体" w:hAnsi="Times New Roman" w:cs="Times New Roman" w:hint="eastAsia"/>
          <w:color w:val="000000"/>
          <w:sz w:val="28"/>
          <w:szCs w:val="28"/>
        </w:rPr>
        <w:t>1</w:t>
      </w:r>
      <w:r w:rsidRPr="00437B33">
        <w:rPr>
          <w:rFonts w:ascii="Times New Roman" w:eastAsia="宋体" w:hAnsi="Times New Roman" w:cs="Times New Roman" w:hint="eastAsia"/>
          <w:color w:val="000000"/>
          <w:sz w:val="28"/>
          <w:szCs w:val="28"/>
        </w:rPr>
        <w:t>）患者就诊队列和当前叫号情况</w:t>
      </w:r>
    </w:p>
    <w:p w:rsidR="00437B33" w:rsidRPr="00437B33" w:rsidRDefault="00437B33" w:rsidP="00437B33">
      <w:pPr>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w:t>
      </w:r>
      <w:r w:rsidRPr="00437B33">
        <w:rPr>
          <w:rFonts w:ascii="Times New Roman" w:eastAsia="宋体" w:hAnsi="Times New Roman" w:cs="Times New Roman" w:hint="eastAsia"/>
          <w:color w:val="000000"/>
          <w:sz w:val="28"/>
          <w:szCs w:val="28"/>
        </w:rPr>
        <w:t>2</w:t>
      </w:r>
      <w:r w:rsidRPr="00437B33">
        <w:rPr>
          <w:rFonts w:ascii="Times New Roman" w:eastAsia="宋体" w:hAnsi="Times New Roman" w:cs="Times New Roman" w:hint="eastAsia"/>
          <w:color w:val="000000"/>
          <w:sz w:val="28"/>
          <w:szCs w:val="28"/>
        </w:rPr>
        <w:t>）检验、检查结果已出提醒</w:t>
      </w:r>
    </w:p>
    <w:p w:rsidR="00437B33" w:rsidRPr="00437B33" w:rsidRDefault="00437B33" w:rsidP="00437B33">
      <w:pPr>
        <w:jc w:val="left"/>
        <w:rPr>
          <w:rFonts w:ascii="Times New Roman" w:eastAsia="宋体" w:hAnsi="Times New Roman" w:cs="Times New Roman"/>
          <w:color w:val="000000"/>
          <w:sz w:val="28"/>
          <w:szCs w:val="28"/>
        </w:rPr>
      </w:pPr>
      <w:r w:rsidRPr="00437B33">
        <w:rPr>
          <w:rFonts w:ascii="Times New Roman" w:eastAsia="宋体" w:hAnsi="Times New Roman" w:cs="Times New Roman" w:hint="eastAsia"/>
          <w:color w:val="000000"/>
          <w:sz w:val="28"/>
          <w:szCs w:val="28"/>
        </w:rPr>
        <w:t>（</w:t>
      </w:r>
      <w:r w:rsidRPr="00437B33">
        <w:rPr>
          <w:rFonts w:ascii="Times New Roman" w:eastAsia="宋体" w:hAnsi="Times New Roman" w:cs="Times New Roman" w:hint="eastAsia"/>
          <w:color w:val="000000"/>
          <w:sz w:val="28"/>
          <w:szCs w:val="28"/>
        </w:rPr>
        <w:t>3</w:t>
      </w:r>
      <w:r w:rsidRPr="00437B33">
        <w:rPr>
          <w:rFonts w:ascii="Times New Roman" w:eastAsia="宋体" w:hAnsi="Times New Roman" w:cs="Times New Roman" w:hint="eastAsia"/>
          <w:color w:val="000000"/>
          <w:sz w:val="28"/>
          <w:szCs w:val="28"/>
        </w:rPr>
        <w:t>）待缴费处方和拿药提醒</w:t>
      </w:r>
    </w:p>
    <w:p w:rsidR="00437B33" w:rsidRPr="00437B33" w:rsidRDefault="00437B33" w:rsidP="00437B33">
      <w:pPr>
        <w:jc w:val="left"/>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w:t>
      </w:r>
      <w:r w:rsidRPr="00437B33">
        <w:rPr>
          <w:rFonts w:ascii="Times New Roman" w:eastAsia="宋体" w:hAnsi="Times New Roman" w:cs="Times New Roman" w:hint="eastAsia"/>
          <w:color w:val="000000"/>
          <w:sz w:val="28"/>
          <w:szCs w:val="28"/>
        </w:rPr>
        <w:t>4</w:t>
      </w:r>
      <w:r w:rsidRPr="00437B33">
        <w:rPr>
          <w:rFonts w:ascii="Times New Roman" w:eastAsia="宋体" w:hAnsi="Times New Roman" w:cs="Times New Roman" w:hint="eastAsia"/>
          <w:color w:val="000000"/>
          <w:sz w:val="28"/>
          <w:szCs w:val="28"/>
        </w:rPr>
        <w:t>）新</w:t>
      </w:r>
      <w:r w:rsidRPr="00437B33">
        <w:rPr>
          <w:rFonts w:ascii="Times New Roman" w:eastAsia="宋体" w:hAnsi="Times New Roman" w:cs="Times New Roman" w:hint="eastAsia"/>
          <w:color w:val="000000"/>
          <w:sz w:val="28"/>
          <w:szCs w:val="28"/>
        </w:rPr>
        <w:t>A</w:t>
      </w:r>
      <w:r w:rsidRPr="00437B33">
        <w:rPr>
          <w:rFonts w:ascii="Times New Roman" w:eastAsia="宋体" w:hAnsi="Times New Roman" w:cs="Times New Roman"/>
          <w:color w:val="000000"/>
          <w:sz w:val="28"/>
          <w:szCs w:val="28"/>
        </w:rPr>
        <w:t>RT</w:t>
      </w:r>
      <w:r w:rsidRPr="00437B33">
        <w:rPr>
          <w:rFonts w:ascii="Times New Roman" w:eastAsia="宋体" w:hAnsi="Times New Roman" w:cs="Times New Roman" w:hint="eastAsia"/>
          <w:color w:val="000000"/>
          <w:sz w:val="28"/>
          <w:szCs w:val="28"/>
        </w:rPr>
        <w:t>电子病历冷冻胚胎缴费到期提醒</w:t>
      </w:r>
    </w:p>
    <w:p w:rsidR="00437B33" w:rsidRPr="00437B33" w:rsidRDefault="00437B33" w:rsidP="00437B33">
      <w:pPr>
        <w:jc w:val="left"/>
        <w:rPr>
          <w:rFonts w:ascii="Times New Roman" w:eastAsia="宋体" w:hAnsi="Times New Roman" w:cs="Times New Roman" w:hint="eastAsia"/>
          <w:color w:val="000000"/>
          <w:sz w:val="28"/>
          <w:szCs w:val="28"/>
        </w:rPr>
      </w:pPr>
      <w:r w:rsidRPr="00437B33">
        <w:rPr>
          <w:rFonts w:ascii="Times New Roman" w:eastAsia="宋体" w:hAnsi="Times New Roman" w:cs="Times New Roman" w:hint="eastAsia"/>
          <w:color w:val="000000"/>
          <w:sz w:val="28"/>
          <w:szCs w:val="28"/>
        </w:rPr>
        <w:t>（</w:t>
      </w:r>
      <w:r w:rsidRPr="00437B33">
        <w:rPr>
          <w:rFonts w:ascii="Times New Roman" w:eastAsia="宋体" w:hAnsi="Times New Roman" w:cs="Times New Roman" w:hint="eastAsia"/>
          <w:color w:val="000000"/>
          <w:sz w:val="28"/>
          <w:szCs w:val="28"/>
        </w:rPr>
        <w:t>5</w:t>
      </w:r>
      <w:r w:rsidRPr="00437B33">
        <w:rPr>
          <w:rFonts w:ascii="Times New Roman" w:eastAsia="宋体" w:hAnsi="Times New Roman" w:cs="Times New Roman" w:hint="eastAsia"/>
          <w:color w:val="000000"/>
          <w:sz w:val="28"/>
          <w:szCs w:val="28"/>
        </w:rPr>
        <w:t>）冻胚、</w:t>
      </w:r>
      <w:proofErr w:type="gramStart"/>
      <w:r w:rsidRPr="00437B33">
        <w:rPr>
          <w:rFonts w:ascii="Times New Roman" w:eastAsia="宋体" w:hAnsi="Times New Roman" w:cs="Times New Roman" w:hint="eastAsia"/>
          <w:color w:val="000000"/>
          <w:sz w:val="28"/>
          <w:szCs w:val="28"/>
        </w:rPr>
        <w:t>冻卵可</w:t>
      </w:r>
      <w:proofErr w:type="gramEnd"/>
      <w:r w:rsidRPr="00437B33">
        <w:rPr>
          <w:rFonts w:ascii="Times New Roman" w:eastAsia="宋体" w:hAnsi="Times New Roman" w:cs="Times New Roman" w:hint="eastAsia"/>
          <w:color w:val="000000"/>
          <w:sz w:val="28"/>
          <w:szCs w:val="28"/>
        </w:rPr>
        <w:t>自动给患者发送信息提示（</w:t>
      </w:r>
      <w:r w:rsidRPr="00437B33">
        <w:rPr>
          <w:rFonts w:ascii="Times New Roman" w:eastAsia="宋体" w:hAnsi="Times New Roman" w:cs="Times New Roman" w:hint="eastAsia"/>
          <w:color w:val="000000"/>
          <w:sz w:val="28"/>
          <w:szCs w:val="28"/>
        </w:rPr>
        <w:t>312</w:t>
      </w:r>
      <w:r w:rsidRPr="00437B33">
        <w:rPr>
          <w:rFonts w:ascii="Times New Roman" w:eastAsia="宋体" w:hAnsi="Times New Roman" w:cs="Times New Roman" w:hint="eastAsia"/>
          <w:color w:val="000000"/>
          <w:sz w:val="28"/>
          <w:szCs w:val="28"/>
        </w:rPr>
        <w:t>）</w:t>
      </w:r>
    </w:p>
    <w:p w:rsidR="000178AC" w:rsidRPr="00437B33" w:rsidRDefault="000178AC" w:rsidP="00437B33">
      <w:pPr>
        <w:spacing w:line="360" w:lineRule="auto"/>
        <w:rPr>
          <w:sz w:val="28"/>
          <w:szCs w:val="28"/>
        </w:rPr>
      </w:pPr>
      <w:bookmarkStart w:id="0" w:name="_GoBack"/>
      <w:bookmarkEnd w:id="0"/>
    </w:p>
    <w:sectPr w:rsidR="000178AC" w:rsidRPr="00437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4E" w:rsidRDefault="00950C4E" w:rsidP="000178AC">
      <w:r>
        <w:separator/>
      </w:r>
    </w:p>
  </w:endnote>
  <w:endnote w:type="continuationSeparator" w:id="0">
    <w:p w:rsidR="00950C4E" w:rsidRDefault="00950C4E" w:rsidP="000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4E" w:rsidRDefault="00950C4E" w:rsidP="000178AC">
      <w:r>
        <w:separator/>
      </w:r>
    </w:p>
  </w:footnote>
  <w:footnote w:type="continuationSeparator" w:id="0">
    <w:p w:rsidR="00950C4E" w:rsidRDefault="00950C4E" w:rsidP="00017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67"/>
    <w:rsid w:val="000012E3"/>
    <w:rsid w:val="000057A5"/>
    <w:rsid w:val="00012704"/>
    <w:rsid w:val="000178AC"/>
    <w:rsid w:val="000330E6"/>
    <w:rsid w:val="00042D07"/>
    <w:rsid w:val="00050210"/>
    <w:rsid w:val="00075667"/>
    <w:rsid w:val="000A3848"/>
    <w:rsid w:val="000B2C19"/>
    <w:rsid w:val="000C33EC"/>
    <w:rsid w:val="000D3AEB"/>
    <w:rsid w:val="000D7352"/>
    <w:rsid w:val="00113A4B"/>
    <w:rsid w:val="00134752"/>
    <w:rsid w:val="00164B6E"/>
    <w:rsid w:val="001826AD"/>
    <w:rsid w:val="001A09C2"/>
    <w:rsid w:val="001D7478"/>
    <w:rsid w:val="001F0134"/>
    <w:rsid w:val="002153F4"/>
    <w:rsid w:val="00277267"/>
    <w:rsid w:val="00287483"/>
    <w:rsid w:val="002A08A7"/>
    <w:rsid w:val="002A5D41"/>
    <w:rsid w:val="002B2515"/>
    <w:rsid w:val="002E7C64"/>
    <w:rsid w:val="00305231"/>
    <w:rsid w:val="00323DD2"/>
    <w:rsid w:val="00325862"/>
    <w:rsid w:val="00337250"/>
    <w:rsid w:val="0034171A"/>
    <w:rsid w:val="00385A87"/>
    <w:rsid w:val="003D6D17"/>
    <w:rsid w:val="003F40A1"/>
    <w:rsid w:val="004056CE"/>
    <w:rsid w:val="0040678A"/>
    <w:rsid w:val="00424A1C"/>
    <w:rsid w:val="00430705"/>
    <w:rsid w:val="00430B5E"/>
    <w:rsid w:val="00435B53"/>
    <w:rsid w:val="00437B33"/>
    <w:rsid w:val="004541E9"/>
    <w:rsid w:val="004773A4"/>
    <w:rsid w:val="00497258"/>
    <w:rsid w:val="004D195E"/>
    <w:rsid w:val="004F0701"/>
    <w:rsid w:val="00533C6C"/>
    <w:rsid w:val="00537CDE"/>
    <w:rsid w:val="00540334"/>
    <w:rsid w:val="00543B26"/>
    <w:rsid w:val="00547695"/>
    <w:rsid w:val="00551CD9"/>
    <w:rsid w:val="00565CA0"/>
    <w:rsid w:val="005665C3"/>
    <w:rsid w:val="00590FFB"/>
    <w:rsid w:val="005913E4"/>
    <w:rsid w:val="00591F05"/>
    <w:rsid w:val="005D190D"/>
    <w:rsid w:val="005D5B60"/>
    <w:rsid w:val="006F708F"/>
    <w:rsid w:val="00707AAA"/>
    <w:rsid w:val="00751FD4"/>
    <w:rsid w:val="00773A23"/>
    <w:rsid w:val="007A065F"/>
    <w:rsid w:val="007A4D7F"/>
    <w:rsid w:val="007C56B1"/>
    <w:rsid w:val="007E091E"/>
    <w:rsid w:val="0082796F"/>
    <w:rsid w:val="00830919"/>
    <w:rsid w:val="008532F4"/>
    <w:rsid w:val="00872DA3"/>
    <w:rsid w:val="008B1D00"/>
    <w:rsid w:val="008D5437"/>
    <w:rsid w:val="0090456A"/>
    <w:rsid w:val="00924567"/>
    <w:rsid w:val="00950C4E"/>
    <w:rsid w:val="00954DF6"/>
    <w:rsid w:val="00994843"/>
    <w:rsid w:val="009A71F4"/>
    <w:rsid w:val="009B2ED4"/>
    <w:rsid w:val="009E62E0"/>
    <w:rsid w:val="009F77A8"/>
    <w:rsid w:val="00A05FC2"/>
    <w:rsid w:val="00A11FA2"/>
    <w:rsid w:val="00A15465"/>
    <w:rsid w:val="00A254F0"/>
    <w:rsid w:val="00A42BA4"/>
    <w:rsid w:val="00A50700"/>
    <w:rsid w:val="00A800D8"/>
    <w:rsid w:val="00A87D4E"/>
    <w:rsid w:val="00B059DC"/>
    <w:rsid w:val="00B51FBC"/>
    <w:rsid w:val="00B70A71"/>
    <w:rsid w:val="00B85757"/>
    <w:rsid w:val="00B9217A"/>
    <w:rsid w:val="00BA7584"/>
    <w:rsid w:val="00BC4883"/>
    <w:rsid w:val="00BC5667"/>
    <w:rsid w:val="00BF0CA4"/>
    <w:rsid w:val="00C07C6B"/>
    <w:rsid w:val="00C42FB8"/>
    <w:rsid w:val="00C43C5C"/>
    <w:rsid w:val="00C7056D"/>
    <w:rsid w:val="00C70770"/>
    <w:rsid w:val="00C74477"/>
    <w:rsid w:val="00C8106B"/>
    <w:rsid w:val="00C96F79"/>
    <w:rsid w:val="00CE0403"/>
    <w:rsid w:val="00CF2992"/>
    <w:rsid w:val="00CF57C7"/>
    <w:rsid w:val="00D313FF"/>
    <w:rsid w:val="00D55C83"/>
    <w:rsid w:val="00D838C4"/>
    <w:rsid w:val="00DA0FA1"/>
    <w:rsid w:val="00DB3F12"/>
    <w:rsid w:val="00DD4E6D"/>
    <w:rsid w:val="00DE74AE"/>
    <w:rsid w:val="00DF2CEA"/>
    <w:rsid w:val="00E06B99"/>
    <w:rsid w:val="00E14C8B"/>
    <w:rsid w:val="00E55499"/>
    <w:rsid w:val="00E67A9F"/>
    <w:rsid w:val="00E7684D"/>
    <w:rsid w:val="00E80A84"/>
    <w:rsid w:val="00EF4764"/>
    <w:rsid w:val="00F126DE"/>
    <w:rsid w:val="00F462F2"/>
    <w:rsid w:val="00F975EF"/>
    <w:rsid w:val="00FB11D8"/>
    <w:rsid w:val="00FC0F3F"/>
    <w:rsid w:val="00FC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1663</Characters>
  <Application>Microsoft Office Word</Application>
  <DocSecurity>0</DocSecurity>
  <Lines>13</Lines>
  <Paragraphs>3</Paragraphs>
  <ScaleCrop>false</ScaleCrop>
  <Company>MS</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张光祥</dc:creator>
  <cp:keywords/>
  <dc:description/>
  <cp:lastModifiedBy>张光祥</cp:lastModifiedBy>
  <cp:revision>7</cp:revision>
  <dcterms:created xsi:type="dcterms:W3CDTF">2019-12-11T08:46:00Z</dcterms:created>
  <dcterms:modified xsi:type="dcterms:W3CDTF">2020-10-19T07:14:00Z</dcterms:modified>
</cp:coreProperties>
</file>